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60" w:lineRule="exact"/>
        <w:outlineLvl w:val="0"/>
        <w:rPr>
          <w:rFonts w:hint="eastAsia" w:ascii="方正小标宋简体" w:hAnsi="方正小标宋简体" w:eastAsia="方正小标宋简体" w:cs="方正小标宋简体"/>
          <w:sz w:val="44"/>
          <w:szCs w:val="44"/>
        </w:rPr>
      </w:pPr>
      <w:r>
        <w:rPr>
          <w:rFonts w:hint="eastAsia" w:ascii="黑体" w:hAnsi="黑体" w:eastAsia="黑体" w:cs="黑体"/>
          <w:color w:val="333333"/>
          <w:spacing w:val="15"/>
          <w:kern w:val="0"/>
          <w:sz w:val="32"/>
          <w:szCs w:val="32"/>
          <w:shd w:val="clear" w:color="auto" w:fill="FFFFFF"/>
        </w:rPr>
        <w:t>附件</w:t>
      </w:r>
    </w:p>
    <w:p>
      <w:pPr>
        <w:spacing w:after="0" w:line="6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2024年全年租赁和商务服务业增长奖励</w:t>
      </w:r>
    </w:p>
    <w:p>
      <w:pPr>
        <w:spacing w:after="0" w:line="6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Pr>
        <w:spacing w:after="0" w:line="660" w:lineRule="exact"/>
        <w:jc w:val="center"/>
        <w:outlineLvl w:val="0"/>
        <w:rPr>
          <w:rFonts w:hint="eastAsia" w:ascii="仿宋_GB2312" w:hAnsi="仿宋_GB2312" w:eastAsia="仿宋_GB2312" w:cs="仿宋_GB2312"/>
          <w:sz w:val="32"/>
          <w:szCs w:val="32"/>
        </w:rPr>
      </w:pPr>
    </w:p>
    <w:p>
      <w:pPr>
        <w:spacing w:after="0"/>
        <w:ind w:firstLine="640" w:firstLineChars="200"/>
        <w:outlineLvl w:val="0"/>
        <w:rPr>
          <w:rFonts w:hint="eastAsia" w:ascii="黑体" w:hAnsi="黑体" w:eastAsia="黑体" w:cs="黑体"/>
          <w:color w:val="000000"/>
          <w:kern w:val="0"/>
          <w:sz w:val="32"/>
          <w:szCs w:val="32"/>
        </w:rPr>
      </w:pPr>
      <w:r>
        <w:rPr>
          <w:rFonts w:hint="eastAsia" w:ascii="黑体" w:hAnsi="黑体" w:eastAsia="黑体" w:cs="黑体"/>
          <w:sz w:val="32"/>
          <w:szCs w:val="32"/>
        </w:rPr>
        <w:t>一、政策依据</w:t>
      </w:r>
    </w:p>
    <w:p>
      <w:pPr>
        <w:pStyle w:val="9"/>
        <w:widowControl/>
        <w:spacing w:beforeAutospacing="0" w:after="0" w:afterAutospacing="0" w:line="560" w:lineRule="exact"/>
        <w:ind w:firstLine="640" w:firstLineChars="200"/>
        <w:jc w:val="both"/>
        <w:textAlignment w:val="baseline"/>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北京经济技术开发区关于巩固和增强经济回升向好态势的若干措施</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京技管发〔2024〕3号</w:t>
      </w:r>
      <w:r>
        <w:rPr>
          <w:rFonts w:hint="eastAsia" w:ascii="仿宋_GB2312" w:hAnsi="仿宋_GB2312" w:eastAsia="仿宋_GB2312" w:cs="仿宋_GB2312"/>
          <w:sz w:val="32"/>
          <w:szCs w:val="32"/>
        </w:rPr>
        <w:t>）》（以下简称《措施》）中第6条中“促进租赁和商务服务业提质升级。</w:t>
      </w:r>
      <w:r>
        <w:rPr>
          <w:rFonts w:hint="eastAsia" w:ascii="仿宋_GB2312" w:hAnsi="仿宋_GB2312" w:eastAsia="仿宋_GB2312" w:cs="仿宋_GB2312"/>
          <w:kern w:val="2"/>
          <w:sz w:val="32"/>
          <w:szCs w:val="32"/>
        </w:rPr>
        <w:t>对2024年</w:t>
      </w:r>
      <w:r>
        <w:rPr>
          <w:rFonts w:hint="eastAsia" w:ascii="仿宋_GB2312" w:hAnsi="仿宋_GB2312" w:eastAsia="仿宋_GB2312" w:cs="仿宋_GB2312"/>
          <w:kern w:val="2"/>
          <w:sz w:val="32"/>
          <w:szCs w:val="32"/>
          <w:u w:val="none"/>
        </w:rPr>
        <w:t>全年</w:t>
      </w:r>
      <w:r>
        <w:rPr>
          <w:rFonts w:hint="eastAsia" w:ascii="仿宋_GB2312" w:hAnsi="仿宋_GB2312" w:eastAsia="仿宋_GB2312" w:cs="仿宋_GB2312"/>
          <w:kern w:val="2"/>
          <w:sz w:val="32"/>
          <w:szCs w:val="32"/>
        </w:rPr>
        <w:t>营业收入5000万元以下、增速达10%的</w:t>
      </w:r>
      <w:r>
        <w:rPr>
          <w:rFonts w:hint="eastAsia" w:ascii="仿宋_GB2312" w:hAnsi="仿宋_GB2312" w:eastAsia="仿宋_GB2312" w:cs="仿宋_GB2312"/>
          <w:sz w:val="32"/>
          <w:szCs w:val="32"/>
        </w:rPr>
        <w:t>租赁和商务服务业</w:t>
      </w:r>
      <w:r>
        <w:rPr>
          <w:rFonts w:hint="eastAsia" w:ascii="仿宋_GB2312" w:hAnsi="仿宋_GB2312" w:eastAsia="仿宋_GB2312" w:cs="仿宋_GB2312"/>
          <w:kern w:val="2"/>
          <w:sz w:val="32"/>
          <w:szCs w:val="32"/>
        </w:rPr>
        <w:t>企业，按营业收入增量部分的2%给予支持；对全年营业收入达5000万元（含）以上、增速达6%的</w:t>
      </w:r>
      <w:r>
        <w:rPr>
          <w:rFonts w:hint="eastAsia" w:ascii="仿宋_GB2312" w:hAnsi="仿宋_GB2312" w:eastAsia="仿宋_GB2312" w:cs="仿宋_GB2312"/>
          <w:sz w:val="32"/>
          <w:szCs w:val="32"/>
        </w:rPr>
        <w:t>租赁和商务服务业</w:t>
      </w:r>
      <w:r>
        <w:rPr>
          <w:rFonts w:hint="eastAsia" w:ascii="仿宋_GB2312" w:hAnsi="仿宋_GB2312" w:eastAsia="仿宋_GB2312" w:cs="仿宋_GB2312"/>
          <w:kern w:val="2"/>
          <w:sz w:val="32"/>
          <w:szCs w:val="32"/>
        </w:rPr>
        <w:t>企业，按营业收入增量部分的2%给予支持；全年最高不超过200万元</w:t>
      </w:r>
      <w:r>
        <w:rPr>
          <w:rFonts w:hint="eastAsia" w:ascii="仿宋_GB2312" w:hAnsi="仿宋_GB2312" w:eastAsia="仿宋_GB2312" w:cs="仿宋_GB2312"/>
          <w:sz w:val="32"/>
          <w:szCs w:val="32"/>
        </w:rPr>
        <w:t>”。</w:t>
      </w:r>
    </w:p>
    <w:p>
      <w:pPr>
        <w:spacing w:after="0"/>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二、申报事项</w:t>
      </w:r>
    </w:p>
    <w:p>
      <w:pPr>
        <w:spacing w:after="0"/>
        <w:ind w:firstLine="640" w:firstLineChars="200"/>
        <w:rPr>
          <w:rFonts w:eastAsia="仿宋_GB2312" w:cs="仿宋_GB2312"/>
          <w:sz w:val="32"/>
          <w:szCs w:val="32"/>
        </w:rPr>
      </w:pPr>
      <w:r>
        <w:rPr>
          <w:rFonts w:hint="eastAsia" w:ascii="仿宋_GB2312" w:hAnsi="仿宋_GB2312" w:eastAsia="仿宋_GB2312" w:cs="仿宋_GB2312"/>
          <w:sz w:val="32"/>
          <w:szCs w:val="32"/>
        </w:rPr>
        <w:t>2024年全年租赁和商务服</w:t>
      </w:r>
      <w:r>
        <w:rPr>
          <w:rFonts w:hint="eastAsia" w:eastAsia="仿宋_GB2312" w:cs="仿宋_GB2312"/>
          <w:sz w:val="32"/>
          <w:szCs w:val="32"/>
        </w:rPr>
        <w:t>务业增长奖励</w:t>
      </w:r>
    </w:p>
    <w:p>
      <w:pPr>
        <w:spacing w:after="0"/>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numPr>
          <w:ilvl w:val="0"/>
          <w:numId w:val="1"/>
        </w:num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租赁和商务服务业企业（统计代码71-72开头）。</w:t>
      </w:r>
    </w:p>
    <w:p>
      <w:pPr>
        <w:numPr>
          <w:ilvl w:val="0"/>
          <w:numId w:val="1"/>
        </w:num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2024年全年（1-11月）营业收入同比增速大于等于6%。</w:t>
      </w:r>
    </w:p>
    <w:p>
      <w:pPr>
        <w:numPr>
          <w:ilvl w:val="0"/>
          <w:numId w:val="1"/>
        </w:num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亦庄新城225平方公里范围内依法经营。</w:t>
      </w:r>
    </w:p>
    <w:p>
      <w:pPr>
        <w:spacing w:after="0"/>
        <w:ind w:firstLine="640" w:firstLineChars="200"/>
        <w:outlineLvl w:val="0"/>
        <w:rPr>
          <w:rFonts w:hint="eastAsia" w:ascii="黑体" w:hAnsi="黑体" w:eastAsia="黑体" w:cs="黑体"/>
          <w:bCs/>
          <w:color w:val="000000"/>
          <w:kern w:val="0"/>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近三年（2022年1月1日至2024年12月31日）无重大行政处罚及刑事犯罪记录、未列入严重违法失信主体名单的批发和零售业企业。</w:t>
      </w:r>
      <w:bookmarkStart w:id="0" w:name="_GoBack"/>
      <w:bookmarkEnd w:id="0"/>
    </w:p>
    <w:p>
      <w:pPr>
        <w:spacing w:after="0"/>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2024年全年（1-11月）营业收入5000万元以下、增速达10%，按营业收入增量部分的2%给予支持；企业2024年全年（1-11月）营业收入达5000万元（含）以上、增速达6%的企业，按营业收入增量部分的2%给予支持；全年最高不超过200万元。</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（二）兑现金额以万元为单位，保留一位小数，低于</w:t>
      </w:r>
      <w:r>
        <w:rPr>
          <w:rFonts w:ascii="仿宋_GB2312" w:hAnsi="仿宋_GB2312" w:eastAsia="仿宋_GB2312" w:cs="仿宋_GB2312"/>
          <w:sz w:val="32"/>
          <w:szCs w:val="32"/>
        </w:rPr>
        <w:t>1万元不予兑现</w:t>
      </w:r>
      <w:r>
        <w:rPr>
          <w:rFonts w:hint="eastAsia" w:ascii="仿宋_GB2312" w:hAnsi="仿宋_GB2312" w:eastAsia="仿宋_GB2312" w:cs="仿宋_GB2312"/>
          <w:sz w:val="32"/>
          <w:szCs w:val="32"/>
        </w:rPr>
        <w:t>，不足千元部分舍去</w:t>
      </w:r>
      <w:r>
        <w:rPr>
          <w:rFonts w:ascii="仿宋_GB2312" w:hAnsi="仿宋_GB2312" w:eastAsia="仿宋_GB2312" w:cs="仿宋_GB2312"/>
          <w:sz w:val="32"/>
          <w:szCs w:val="32"/>
        </w:rPr>
        <w:t>。</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（三）同一企业在兑现全年支持资金时，需扣除已获得2024年一季度租赁和商务服务业增长奖励支持资金部分。</w:t>
      </w:r>
    </w:p>
    <w:p>
      <w:pPr>
        <w:pStyle w:val="2"/>
        <w:spacing w:after="0"/>
        <w:ind w:firstLine="640"/>
        <w:rPr>
          <w:rFonts w:hint="eastAsia" w:ascii="黑体" w:hAnsi="黑体" w:eastAsia="黑体" w:cs="黑体"/>
        </w:rPr>
      </w:pPr>
      <w:r>
        <w:rPr>
          <w:rFonts w:hint="eastAsia" w:ascii="仿宋_GB2312" w:hAnsi="仿宋_GB2312" w:eastAsia="仿宋_GB2312" w:cs="仿宋_GB2312"/>
        </w:rPr>
        <w:t>（四）对于2023年（1-11月）营业收入数据为0的企业，2023年（1-11月）营业收入计算基数为1000万。</w:t>
      </w:r>
    </w:p>
    <w:p>
      <w:pPr>
        <w:pStyle w:val="2"/>
        <w:spacing w:after="0"/>
        <w:ind w:firstLine="640"/>
        <w:rPr>
          <w:rFonts w:hint="eastAsia" w:ascii="黑体" w:hAnsi="黑体" w:eastAsia="黑体" w:cs="黑体"/>
        </w:rPr>
      </w:pPr>
      <w:r>
        <w:rPr>
          <w:rFonts w:hint="eastAsia" w:ascii="黑体" w:hAnsi="黑体" w:eastAsia="黑体" w:cs="黑体"/>
        </w:rPr>
        <w:t>五、申报材料及要求</w:t>
      </w:r>
    </w:p>
    <w:p>
      <w:pPr>
        <w:spacing w:after="0"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2024年全年租赁和商务服务业增长奖励</w:t>
      </w:r>
      <w:r>
        <w:rPr>
          <w:rFonts w:ascii="仿宋_GB2312" w:hAnsi="仿宋_GB2312" w:eastAsia="仿宋_GB2312" w:cs="仿宋_GB2312"/>
          <w:sz w:val="32"/>
          <w:szCs w:val="32"/>
        </w:rPr>
        <w:t>申报表</w:t>
      </w:r>
      <w:r>
        <w:rPr>
          <w:rFonts w:hint="eastAsia" w:ascii="仿宋_GB2312" w:hAnsi="仿宋_GB2312" w:eastAsia="仿宋_GB2312" w:cs="仿宋_GB2312"/>
          <w:sz w:val="32"/>
          <w:szCs w:val="32"/>
        </w:rPr>
        <w:t>，在线填写；</w:t>
      </w:r>
    </w:p>
    <w:p>
      <w:pPr>
        <w:spacing w:after="0"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2.企业营业执照</w:t>
      </w:r>
      <w:r>
        <w:rPr>
          <w:rFonts w:hint="eastAsia" w:ascii="仿宋_GB2312" w:hAnsi="仿宋_GB2312" w:eastAsia="仿宋_GB2312" w:cs="仿宋_GB2312"/>
          <w:sz w:val="32"/>
          <w:szCs w:val="32"/>
        </w:rPr>
        <w:t>，选取电子证照；</w:t>
      </w:r>
    </w:p>
    <w:p>
      <w:pPr>
        <w:spacing w:after="0"/>
        <w:ind w:firstLine="640" w:firstLineChars="200"/>
        <w:outlineLvl w:val="2"/>
        <w:rPr>
          <w:rFonts w:hint="eastAsia" w:ascii="仿宋_GB2312" w:hAnsi="仿宋_GB2312" w:eastAsia="仿宋_GB2312" w:cs="仿宋_GB2312"/>
          <w:sz w:val="32"/>
          <w:szCs w:val="32"/>
        </w:rPr>
      </w:pPr>
      <w:r>
        <w:rPr>
          <w:rFonts w:ascii="仿宋_GB2312" w:hAnsi="仿宋_GB2312" w:eastAsia="仿宋_GB2312" w:cs="仿宋_GB2312"/>
          <w:sz w:val="32"/>
          <w:szCs w:val="32"/>
        </w:rPr>
        <w:t>3.承诺书</w:t>
      </w:r>
      <w:r>
        <w:rPr>
          <w:rFonts w:hint="eastAsia" w:ascii="仿宋_GB2312" w:hAnsi="仿宋_GB2312" w:eastAsia="仿宋_GB2312" w:cs="仿宋_GB2312"/>
          <w:sz w:val="32"/>
          <w:szCs w:val="32"/>
        </w:rPr>
        <w:t>，下载模板填写，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after="0"/>
        <w:ind w:firstLine="640" w:firstLineChars="200"/>
        <w:outlineLvl w:val="2"/>
        <w:rPr>
          <w:rFonts w:hint="eastAsia" w:ascii="仿宋_GB2312" w:hAnsi="仿宋_GB2312" w:eastAsia="仿宋_GB2312" w:cs="仿宋_GB2312"/>
          <w:spacing w:val="6"/>
          <w:sz w:val="32"/>
          <w:szCs w:val="32"/>
        </w:rPr>
      </w:pPr>
      <w:r>
        <w:rPr>
          <w:rFonts w:ascii="仿宋_GB2312" w:hAnsi="仿宋_GB2312" w:eastAsia="仿宋_GB2312" w:cs="仿宋_GB2312"/>
          <w:sz w:val="32"/>
          <w:szCs w:val="32"/>
        </w:rPr>
        <w:t>4.银行账户信息</w:t>
      </w:r>
      <w:r>
        <w:rPr>
          <w:rFonts w:hint="eastAsia" w:ascii="仿宋_GB2312" w:hAnsi="仿宋_GB2312" w:eastAsia="仿宋_GB2312" w:cs="仿宋_GB2312"/>
          <w:sz w:val="32"/>
          <w:szCs w:val="32"/>
        </w:rPr>
        <w:t>，下载模板填写，加盖公章，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after="0"/>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营业收入证明，提供2024年全年（1-11月）及2023年全年（1-11月）营业收入数据（F203）表，加盖公章，彩色扫描上传。</w:t>
      </w:r>
    </w:p>
    <w:p>
      <w:pPr>
        <w:spacing w:after="0"/>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t>六、办理程序</w:t>
      </w:r>
    </w:p>
    <w:p>
      <w:pPr>
        <w:pStyle w:val="9"/>
        <w:widowControl/>
        <w:numPr>
          <w:ilvl w:val="255"/>
          <w:numId w:val="0"/>
        </w:numPr>
        <w:shd w:val="clear" w:color="auto" w:fill="FFFFFF"/>
        <w:spacing w:beforeAutospacing="0" w:after="0" w:afterAutospacing="0" w:line="368"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9"/>
        <w:widowControl/>
        <w:numPr>
          <w:ilvl w:val="255"/>
          <w:numId w:val="0"/>
        </w:numPr>
        <w:shd w:val="clear" w:color="auto" w:fill="FFFFFF"/>
        <w:spacing w:beforeAutospacing="0" w:after="0" w:afterAutospacing="0" w:line="368" w:lineRule="atLeas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pPr>
        <w:pStyle w:val="9"/>
        <w:widowControl/>
        <w:shd w:val="clear" w:color="auto" w:fill="FFFFFF"/>
        <w:spacing w:beforeAutospacing="0" w:after="0" w:afterAutospacing="0" w:line="368" w:lineRule="atLeas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商务金融局</w:t>
      </w:r>
      <w:r>
        <w:rPr>
          <w:rFonts w:hint="eastAsia" w:ascii="仿宋_GB2312" w:hAnsi="仿宋_GB2312" w:eastAsia="仿宋_GB2312" w:cs="仿宋_GB2312"/>
          <w:color w:val="000000"/>
          <w:kern w:val="2"/>
          <w:sz w:val="32"/>
          <w:szCs w:val="32"/>
        </w:rPr>
        <w:t>对申请材料进行实质审核。</w:t>
      </w:r>
    </w:p>
    <w:p>
      <w:pPr>
        <w:pStyle w:val="9"/>
        <w:widowControl/>
        <w:shd w:val="clear" w:color="auto" w:fill="FFFFFF"/>
        <w:spacing w:beforeAutospacing="0" w:after="0" w:afterAutospacing="0" w:line="368" w:lineRule="atLeas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：经开区商务金融局对审核通过的申报主体拟定兑现扶持奖励金额。</w:t>
      </w:r>
    </w:p>
    <w:p>
      <w:pPr>
        <w:pStyle w:val="9"/>
        <w:widowControl/>
        <w:shd w:val="clear" w:color="auto" w:fill="FFFFFF"/>
        <w:spacing w:beforeAutospacing="0" w:after="0" w:afterAutospacing="0" w:line="368" w:lineRule="atLeas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：经开区商务金融局通过政策兑现综合服务平台对审核通过的申报主体进行公示。</w:t>
      </w:r>
    </w:p>
    <w:p>
      <w:pPr>
        <w:pStyle w:val="9"/>
        <w:widowControl/>
        <w:shd w:val="clear" w:color="auto" w:fill="FFFFFF"/>
        <w:spacing w:beforeAutospacing="0" w:after="0" w:afterAutospacing="0" w:line="368"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：经公示无异议的，经开区综合服务保障中心完成资金拨付工作。</w:t>
      </w:r>
    </w:p>
    <w:p>
      <w:pPr>
        <w:spacing w:after="0"/>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pPr>
        <w:spacing w:after="0"/>
        <w:ind w:firstLine="640" w:firstLineChars="200"/>
        <w:rPr>
          <w:rFonts w:hint="eastAsia" w:ascii="仿宋_GB2312" w:hAnsi="仿宋_GB2312" w:eastAsia="仿宋_GB2312" w:cs="仿宋_GB2312"/>
          <w:b/>
          <w:bCs/>
          <w:sz w:val="32"/>
          <w:szCs w:val="32"/>
        </w:rPr>
      </w:pPr>
      <w:r>
        <w:rPr>
          <w:rFonts w:hint="eastAsia" w:eastAsia="仿宋_GB2312" w:cs="仿宋_GB2312"/>
          <w:sz w:val="32"/>
          <w:szCs w:val="32"/>
        </w:rPr>
        <w:t>经开区商务金融局</w:t>
      </w:r>
    </w:p>
    <w:p>
      <w:pPr>
        <w:spacing w:after="0"/>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八、受理窗口</w:t>
      </w:r>
    </w:p>
    <w:p>
      <w:pPr>
        <w:spacing w:after="0"/>
        <w:ind w:firstLine="640" w:firstLineChars="200"/>
        <w:outlineLvl w:val="0"/>
        <w:rPr>
          <w:rFonts w:hint="eastAsia" w:ascii="黑体" w:hAnsi="黑体" w:eastAsia="黑体" w:cs="黑体"/>
          <w:sz w:val="32"/>
          <w:szCs w:val="32"/>
        </w:rPr>
      </w:pPr>
      <w:r>
        <w:rPr>
          <w:rFonts w:hint="eastAsia" w:ascii="仿宋_GB2312" w:hAnsi="仿宋_GB2312" w:eastAsia="仿宋_GB2312" w:cs="仿宋_GB2312"/>
          <w:sz w:val="32"/>
          <w:szCs w:val="32"/>
        </w:rPr>
        <w:t>北京经济技术开发区万源街4号政务服务大厅“政策申报”窗口。</w:t>
      </w:r>
    </w:p>
    <w:p>
      <w:pPr>
        <w:spacing w:after="0"/>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九、申报时间</w:t>
      </w:r>
    </w:p>
    <w:p>
      <w:pPr>
        <w:spacing w:after="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2025年3月12日至2025年3月26日</w:t>
      </w:r>
    </w:p>
    <w:p>
      <w:pPr>
        <w:spacing w:after="0"/>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十、联系人及联系方式</w:t>
      </w:r>
    </w:p>
    <w:p>
      <w:pPr>
        <w:spacing w:after="0"/>
        <w:ind w:firstLine="640" w:firstLineChars="200"/>
        <w:rPr>
          <w:rFonts w:eastAsia="仿宋_GB2312"/>
          <w:sz w:val="32"/>
          <w:szCs w:val="32"/>
        </w:rPr>
      </w:pPr>
      <w:r>
        <w:rPr>
          <w:rFonts w:hint="eastAsia" w:eastAsia="仿宋_GB2312"/>
          <w:sz w:val="32"/>
          <w:szCs w:val="32"/>
        </w:rPr>
        <w:t>政策咨询：</w:t>
      </w:r>
    </w:p>
    <w:p>
      <w:pPr>
        <w:spacing w:after="0"/>
        <w:ind w:firstLine="640" w:firstLineChars="200"/>
        <w:rPr>
          <w:rFonts w:eastAsia="仿宋_GB2312"/>
          <w:sz w:val="32"/>
          <w:szCs w:val="32"/>
        </w:rPr>
      </w:pPr>
      <w:r>
        <w:rPr>
          <w:rFonts w:hint="eastAsia" w:ascii="仿宋_GB2312" w:hAnsi="仿宋_GB2312" w:eastAsia="仿宋_GB2312" w:cs="仿宋_GB2312"/>
          <w:sz w:val="32"/>
          <w:szCs w:val="32"/>
        </w:rPr>
        <w:t>经开区政务服务大厅“政策申报”窗口，</w:t>
      </w:r>
      <w:r>
        <w:rPr>
          <w:rFonts w:hint="eastAsia" w:eastAsia="仿宋_GB2312"/>
          <w:sz w:val="32"/>
          <w:szCs w:val="32"/>
        </w:rPr>
        <w:t>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after="0"/>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区商务金融局，联系电话：010-67881472，工作日上午9:00—12:00，下午2:00—6:00。</w:t>
      </w:r>
    </w:p>
    <w:p>
      <w:pPr>
        <w:spacing w:after="0"/>
        <w:ind w:firstLine="640" w:firstLineChars="200"/>
        <w:rPr>
          <w:rFonts w:eastAsia="仿宋_GB2312"/>
          <w:sz w:val="32"/>
          <w:szCs w:val="32"/>
        </w:rPr>
      </w:pPr>
      <w:r>
        <w:rPr>
          <w:rFonts w:hint="eastAsia" w:eastAsia="仿宋_GB2312"/>
          <w:sz w:val="32"/>
          <w:szCs w:val="32"/>
        </w:rPr>
        <w:t>技术支持：</w:t>
      </w:r>
    </w:p>
    <w:p>
      <w:pPr>
        <w:spacing w:after="0"/>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spacing w:after="0"/>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pPr>
        <w:spacing w:after="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after="0"/>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pPr>
        <w:spacing w:after="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ECDF3D"/>
    <w:multiLevelType w:val="singleLevel"/>
    <w:tmpl w:val="7DECDF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0EF1"/>
    <w:rsid w:val="0001192B"/>
    <w:rsid w:val="00055FED"/>
    <w:rsid w:val="00060052"/>
    <w:rsid w:val="00062C5F"/>
    <w:rsid w:val="000976BE"/>
    <w:rsid w:val="000D7453"/>
    <w:rsid w:val="000F4F45"/>
    <w:rsid w:val="000F62F2"/>
    <w:rsid w:val="0011112F"/>
    <w:rsid w:val="001145E7"/>
    <w:rsid w:val="00161422"/>
    <w:rsid w:val="00161CCE"/>
    <w:rsid w:val="001B1475"/>
    <w:rsid w:val="001D4E3C"/>
    <w:rsid w:val="001F2A0D"/>
    <w:rsid w:val="002838D9"/>
    <w:rsid w:val="002D7B19"/>
    <w:rsid w:val="002F695F"/>
    <w:rsid w:val="00360EF1"/>
    <w:rsid w:val="003730BB"/>
    <w:rsid w:val="00395968"/>
    <w:rsid w:val="003F207A"/>
    <w:rsid w:val="00457B4D"/>
    <w:rsid w:val="00466D5D"/>
    <w:rsid w:val="004A47CF"/>
    <w:rsid w:val="005D1F43"/>
    <w:rsid w:val="00660137"/>
    <w:rsid w:val="006A1513"/>
    <w:rsid w:val="006B3BC3"/>
    <w:rsid w:val="006D0140"/>
    <w:rsid w:val="00710378"/>
    <w:rsid w:val="00732B93"/>
    <w:rsid w:val="007611B0"/>
    <w:rsid w:val="008172DE"/>
    <w:rsid w:val="00844BDB"/>
    <w:rsid w:val="00900A14"/>
    <w:rsid w:val="00923A77"/>
    <w:rsid w:val="0098077A"/>
    <w:rsid w:val="009867E2"/>
    <w:rsid w:val="00A3406B"/>
    <w:rsid w:val="00A62FC1"/>
    <w:rsid w:val="00A63A82"/>
    <w:rsid w:val="00AB2D14"/>
    <w:rsid w:val="00B74D80"/>
    <w:rsid w:val="00C122AB"/>
    <w:rsid w:val="00C36A0F"/>
    <w:rsid w:val="00C667D6"/>
    <w:rsid w:val="00D460B2"/>
    <w:rsid w:val="00D668C9"/>
    <w:rsid w:val="00D76185"/>
    <w:rsid w:val="00D85A9F"/>
    <w:rsid w:val="00E933FA"/>
    <w:rsid w:val="00EA199B"/>
    <w:rsid w:val="00ED25DE"/>
    <w:rsid w:val="00F36305"/>
    <w:rsid w:val="00F812DC"/>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C3506D"/>
    <w:rsid w:val="08CC64FD"/>
    <w:rsid w:val="08D44C62"/>
    <w:rsid w:val="09082B12"/>
    <w:rsid w:val="093955CA"/>
    <w:rsid w:val="09677F84"/>
    <w:rsid w:val="09FF2B6A"/>
    <w:rsid w:val="0A12715A"/>
    <w:rsid w:val="0A192B78"/>
    <w:rsid w:val="0A6C6670"/>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184715"/>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4E99B2"/>
    <w:rsid w:val="1ED331FC"/>
    <w:rsid w:val="1ED6487D"/>
    <w:rsid w:val="1EFD05E9"/>
    <w:rsid w:val="1EFE4506"/>
    <w:rsid w:val="1F0F5065"/>
    <w:rsid w:val="1F1A6E4C"/>
    <w:rsid w:val="1F7DB2AE"/>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20962A9"/>
    <w:rsid w:val="22C05B3B"/>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3F5D6A"/>
    <w:rsid w:val="286873FE"/>
    <w:rsid w:val="288627FF"/>
    <w:rsid w:val="28942D3D"/>
    <w:rsid w:val="28A332E9"/>
    <w:rsid w:val="29857C2F"/>
    <w:rsid w:val="29D97CC6"/>
    <w:rsid w:val="2A1D0ADC"/>
    <w:rsid w:val="2A5F7219"/>
    <w:rsid w:val="2A6102E1"/>
    <w:rsid w:val="2AB25697"/>
    <w:rsid w:val="2ACF7AB8"/>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5D1137"/>
    <w:rsid w:val="2F6E0190"/>
    <w:rsid w:val="2F777AB7"/>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973685"/>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DFD6987"/>
    <w:rsid w:val="3E20508B"/>
    <w:rsid w:val="3ED12338"/>
    <w:rsid w:val="3EE438FE"/>
    <w:rsid w:val="3EF468CE"/>
    <w:rsid w:val="3F087986"/>
    <w:rsid w:val="3F31781F"/>
    <w:rsid w:val="3F346049"/>
    <w:rsid w:val="3F3D4664"/>
    <w:rsid w:val="3F580B78"/>
    <w:rsid w:val="3F8F8D93"/>
    <w:rsid w:val="3FBC30E1"/>
    <w:rsid w:val="3FCFDA1A"/>
    <w:rsid w:val="3FD009E6"/>
    <w:rsid w:val="3FD4707F"/>
    <w:rsid w:val="3FDEAF4D"/>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D86E60"/>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DE7C000"/>
    <w:rsid w:val="4DFD43EF"/>
    <w:rsid w:val="4E2B5D5D"/>
    <w:rsid w:val="4E8B3508"/>
    <w:rsid w:val="4ED13285"/>
    <w:rsid w:val="4F1A6236"/>
    <w:rsid w:val="4F6A651C"/>
    <w:rsid w:val="4F721548"/>
    <w:rsid w:val="4F7F739A"/>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4ACDF3"/>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DD3915"/>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773BCA"/>
    <w:rsid w:val="5E852B06"/>
    <w:rsid w:val="5EBB0773"/>
    <w:rsid w:val="5EC9424F"/>
    <w:rsid w:val="5F3F6EB7"/>
    <w:rsid w:val="5F504489"/>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A394DB"/>
    <w:rsid w:val="67C1331A"/>
    <w:rsid w:val="67E5E045"/>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DF6051F"/>
    <w:rsid w:val="6E2B147B"/>
    <w:rsid w:val="6E33263A"/>
    <w:rsid w:val="6E3A4154"/>
    <w:rsid w:val="6E5FEBBF"/>
    <w:rsid w:val="6E893371"/>
    <w:rsid w:val="6E8C71B7"/>
    <w:rsid w:val="6EA731B5"/>
    <w:rsid w:val="6EB6086C"/>
    <w:rsid w:val="6EC648DD"/>
    <w:rsid w:val="6EEF0E38"/>
    <w:rsid w:val="6EEF9230"/>
    <w:rsid w:val="6F0C63B7"/>
    <w:rsid w:val="6F1DE267"/>
    <w:rsid w:val="6F345206"/>
    <w:rsid w:val="6F941165"/>
    <w:rsid w:val="6F9D2D94"/>
    <w:rsid w:val="6FBC2D32"/>
    <w:rsid w:val="70007B47"/>
    <w:rsid w:val="702F1D23"/>
    <w:rsid w:val="705342C1"/>
    <w:rsid w:val="708D3892"/>
    <w:rsid w:val="70A8641D"/>
    <w:rsid w:val="70B75CF8"/>
    <w:rsid w:val="70C079DE"/>
    <w:rsid w:val="712573D2"/>
    <w:rsid w:val="7155010D"/>
    <w:rsid w:val="715C4E8A"/>
    <w:rsid w:val="717F152D"/>
    <w:rsid w:val="71D07EE4"/>
    <w:rsid w:val="720F3D8F"/>
    <w:rsid w:val="72A75458"/>
    <w:rsid w:val="72D92721"/>
    <w:rsid w:val="732D07CF"/>
    <w:rsid w:val="73436223"/>
    <w:rsid w:val="735538BA"/>
    <w:rsid w:val="73AC6967"/>
    <w:rsid w:val="73AE56BA"/>
    <w:rsid w:val="73F93E6A"/>
    <w:rsid w:val="740941C7"/>
    <w:rsid w:val="74A24F54"/>
    <w:rsid w:val="74DA21D9"/>
    <w:rsid w:val="75250E17"/>
    <w:rsid w:val="75576C93"/>
    <w:rsid w:val="75711074"/>
    <w:rsid w:val="75893E4D"/>
    <w:rsid w:val="75BA3B6D"/>
    <w:rsid w:val="75D12F9F"/>
    <w:rsid w:val="75DF5C45"/>
    <w:rsid w:val="75E87AE4"/>
    <w:rsid w:val="76206188"/>
    <w:rsid w:val="767E6D89"/>
    <w:rsid w:val="768B48F5"/>
    <w:rsid w:val="76A32A08"/>
    <w:rsid w:val="76DD66F2"/>
    <w:rsid w:val="76EC6FC3"/>
    <w:rsid w:val="770B2702"/>
    <w:rsid w:val="7718563E"/>
    <w:rsid w:val="776A3F9A"/>
    <w:rsid w:val="77901978"/>
    <w:rsid w:val="77915027"/>
    <w:rsid w:val="779D4F4D"/>
    <w:rsid w:val="77CF1648"/>
    <w:rsid w:val="77DF7CC0"/>
    <w:rsid w:val="77FF3E6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A562569"/>
    <w:rsid w:val="7B201A3E"/>
    <w:rsid w:val="7B3C52F1"/>
    <w:rsid w:val="7B9D0472"/>
    <w:rsid w:val="7BA046F3"/>
    <w:rsid w:val="7BC37346"/>
    <w:rsid w:val="7BD305E1"/>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5CE62"/>
    <w:rsid w:val="7DFC4CA2"/>
    <w:rsid w:val="7E137B54"/>
    <w:rsid w:val="7E4E0E62"/>
    <w:rsid w:val="7E503B32"/>
    <w:rsid w:val="7E5FE6A1"/>
    <w:rsid w:val="7E6B7B24"/>
    <w:rsid w:val="7E757D8F"/>
    <w:rsid w:val="7E782A8A"/>
    <w:rsid w:val="7E7E88A7"/>
    <w:rsid w:val="7EB71892"/>
    <w:rsid w:val="7EEEA71F"/>
    <w:rsid w:val="7EFFFA7B"/>
    <w:rsid w:val="7F6F6FEA"/>
    <w:rsid w:val="7FBB09E5"/>
    <w:rsid w:val="7FC14E2C"/>
    <w:rsid w:val="7FDF7032"/>
    <w:rsid w:val="95FFD050"/>
    <w:rsid w:val="97FB4535"/>
    <w:rsid w:val="9F1FBBB2"/>
    <w:rsid w:val="9F6F6015"/>
    <w:rsid w:val="ABEBA05F"/>
    <w:rsid w:val="BDFB6234"/>
    <w:rsid w:val="BEDFD8C7"/>
    <w:rsid w:val="BF7F440E"/>
    <w:rsid w:val="BFFFF0E5"/>
    <w:rsid w:val="C7DB93C8"/>
    <w:rsid w:val="D6E32EBF"/>
    <w:rsid w:val="DD7E7DC7"/>
    <w:rsid w:val="DE9F304A"/>
    <w:rsid w:val="DEF5E07B"/>
    <w:rsid w:val="DF5A81F9"/>
    <w:rsid w:val="DF7B082E"/>
    <w:rsid w:val="DFBFD11A"/>
    <w:rsid w:val="DFFD5946"/>
    <w:rsid w:val="E67F24D6"/>
    <w:rsid w:val="ED5F5855"/>
    <w:rsid w:val="EFEEB9E2"/>
    <w:rsid w:val="F1FF1060"/>
    <w:rsid w:val="F3FFCF0F"/>
    <w:rsid w:val="F5DBA8FA"/>
    <w:rsid w:val="F5FCB03C"/>
    <w:rsid w:val="F5FFAFBF"/>
    <w:rsid w:val="F77FB107"/>
    <w:rsid w:val="F7FF747F"/>
    <w:rsid w:val="FAFD9985"/>
    <w:rsid w:val="FBC75B35"/>
    <w:rsid w:val="FBEFAEDA"/>
    <w:rsid w:val="FD3D88FC"/>
    <w:rsid w:val="FD9FE185"/>
    <w:rsid w:val="FDDF4020"/>
    <w:rsid w:val="FE5F3A60"/>
    <w:rsid w:val="FEDF64FD"/>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3"/>
    <w:basedOn w:val="3"/>
    <w:next w:val="1"/>
    <w:qFormat/>
    <w:uiPriority w:val="9"/>
    <w:pPr>
      <w:snapToGrid w:val="0"/>
      <w:spacing w:line="560" w:lineRule="exact"/>
      <w:ind w:firstLine="200" w:firstLineChars="200"/>
      <w:contextualSpacing/>
      <w:outlineLvl w:val="2"/>
    </w:pPr>
    <w:rPr>
      <w:rFonts w:ascii="Calibri" w:hAnsi="Calibri" w:eastAsia="楷体_GB2312"/>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ind w:firstLine="640"/>
      <w:textAlignment w:val="baseline"/>
    </w:pPr>
    <w:rPr>
      <w:szCs w:val="22"/>
    </w:rPr>
  </w:style>
  <w:style w:type="paragraph" w:styleId="4">
    <w:name w:val="annotation text"/>
    <w:basedOn w:val="1"/>
    <w:qFormat/>
    <w:uiPriority w:val="0"/>
    <w:pPr>
      <w:jc w:val="left"/>
    </w:pPr>
  </w:style>
  <w:style w:type="paragraph" w:styleId="5">
    <w:name w:val="Body Text"/>
    <w:basedOn w:val="1"/>
    <w:qFormat/>
    <w:uiPriority w:val="1"/>
    <w:rPr>
      <w:rFonts w:ascii="仿宋_GB2312" w:hAnsi="仿宋_GB2312" w:eastAsia="仿宋_GB2312" w:cs="仿宋_GB2312"/>
      <w:sz w:val="32"/>
      <w:szCs w:val="32"/>
    </w:rPr>
  </w:style>
  <w:style w:type="paragraph" w:styleId="6">
    <w:name w:val="Balloon Text"/>
    <w:basedOn w:val="1"/>
    <w:link w:val="17"/>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character" w:styleId="12">
    <w:name w:val="Hyperlink"/>
    <w:basedOn w:val="11"/>
    <w:qFormat/>
    <w:uiPriority w:val="0"/>
    <w:rPr>
      <w:color w:val="0000FF"/>
      <w:u w:val="single"/>
    </w:rPr>
  </w:style>
  <w:style w:type="character" w:styleId="13">
    <w:name w:val="annotation reference"/>
    <w:basedOn w:val="11"/>
    <w:qFormat/>
    <w:uiPriority w:val="0"/>
    <w:rPr>
      <w:sz w:val="21"/>
      <w:szCs w:val="21"/>
    </w:rPr>
  </w:style>
  <w:style w:type="character" w:customStyle="1" w:styleId="14">
    <w:name w:val="页眉 字符"/>
    <w:basedOn w:val="11"/>
    <w:link w:val="8"/>
    <w:qFormat/>
    <w:uiPriority w:val="0"/>
    <w:rPr>
      <w:kern w:val="2"/>
      <w:sz w:val="18"/>
      <w:szCs w:val="18"/>
    </w:rPr>
  </w:style>
  <w:style w:type="character" w:customStyle="1" w:styleId="15">
    <w:name w:val="页脚 字符"/>
    <w:basedOn w:val="11"/>
    <w:link w:val="7"/>
    <w:qFormat/>
    <w:uiPriority w:val="0"/>
    <w:rPr>
      <w:kern w:val="2"/>
      <w:sz w:val="18"/>
      <w:szCs w:val="18"/>
    </w:rPr>
  </w:style>
  <w:style w:type="paragraph" w:customStyle="1" w:styleId="16">
    <w:name w:val="修订1"/>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17">
    <w:name w:val="批注框文本 字符"/>
    <w:basedOn w:val="11"/>
    <w:link w:val="6"/>
    <w:qFormat/>
    <w:uiPriority w:val="0"/>
    <w:rPr>
      <w:kern w:val="2"/>
      <w:sz w:val="18"/>
      <w:szCs w:val="18"/>
    </w:rPr>
  </w:style>
  <w:style w:type="paragraph" w:customStyle="1" w:styleId="18">
    <w:name w:val="Revision"/>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227</Words>
  <Characters>1295</Characters>
  <Lines>10</Lines>
  <Paragraphs>3</Paragraphs>
  <TotalTime>9</TotalTime>
  <ScaleCrop>false</ScaleCrop>
  <LinksUpToDate>false</LinksUpToDate>
  <CharactersWithSpaces>1519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2019-08-18T22:54:00Z</dcterms:created>
  <dc:creator>zkk</dc:creator>
  <cp:lastModifiedBy>BDA</cp:lastModifiedBy>
  <cp:lastPrinted>2025-02-19T22:36:00Z</cp:lastPrinted>
  <dcterms:modified xsi:type="dcterms:W3CDTF">2025-03-11T09:42:21Z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D0C6CB4D3DD449CF9F01DB31742842FE</vt:lpwstr>
  </property>
</Properties>
</file>