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color w:val="000000"/>
          <w:sz w:val="44"/>
          <w:szCs w:val="44"/>
          <w:highlight w:val="none"/>
          <w:lang w:val="en-US" w:eastAsia="zh-CN"/>
        </w:rPr>
      </w:pPr>
      <w:bookmarkStart w:id="1" w:name="_GoBack"/>
      <w:r>
        <w:rPr>
          <w:rFonts w:hint="eastAsia" w:ascii="方正小标宋简体" w:hAnsi="方正小标宋简体" w:eastAsia="方正小标宋简体" w:cs="方正小标宋简体"/>
          <w:color w:val="000000"/>
          <w:sz w:val="44"/>
          <w:szCs w:val="44"/>
          <w:highlight w:val="none"/>
          <w:lang w:val="en-US" w:eastAsia="zh-CN"/>
        </w:rPr>
        <w:t>石景山区支持游戏电竞产业高质量发展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color w:val="000000"/>
          <w:sz w:val="44"/>
          <w:szCs w:val="44"/>
          <w:highlight w:val="none"/>
          <w:lang w:val="en-US" w:eastAsia="zh-CN"/>
        </w:rPr>
      </w:pPr>
      <w:r>
        <w:rPr>
          <w:rFonts w:hint="eastAsia" w:ascii="方正小标宋简体" w:hAnsi="方正小标宋简体" w:eastAsia="方正小标宋简体" w:cs="方正小标宋简体"/>
          <w:color w:val="000000"/>
          <w:sz w:val="44"/>
          <w:szCs w:val="44"/>
          <w:highlight w:val="none"/>
          <w:lang w:val="en-US" w:eastAsia="zh-CN"/>
        </w:rPr>
        <w:t>若干措施（试行）起草说明</w:t>
      </w:r>
    </w:p>
    <w:bookmarkEnd w:id="1"/>
    <w:p>
      <w:pPr>
        <w:pStyle w:val="5"/>
        <w:keepNext w:val="0"/>
        <w:keepLines w:val="0"/>
        <w:pageBreakBefore w:val="0"/>
        <w:kinsoku/>
        <w:wordWrap/>
        <w:overflowPunct/>
        <w:topLinePunct w:val="0"/>
        <w:autoSpaceDE/>
        <w:autoSpaceDN/>
        <w:bidi w:val="0"/>
        <w:adjustRightInd/>
        <w:snapToGrid/>
        <w:spacing w:after="0" w:line="560" w:lineRule="exact"/>
        <w:ind w:left="0" w:leftChars="0" w:right="0" w:rightChars="0"/>
        <w:textAlignment w:val="auto"/>
        <w:rPr>
          <w:rFonts w:hint="eastAsia"/>
          <w:color w:val="000000"/>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2"/>
          <w:sz w:val="32"/>
          <w:szCs w:val="32"/>
          <w:highlight w:val="none"/>
          <w:lang w:val="en-US" w:eastAsia="zh-CN"/>
        </w:rPr>
      </w:pPr>
      <w:r>
        <w:rPr>
          <w:rFonts w:hint="eastAsia" w:ascii="黑体" w:hAnsi="黑体" w:eastAsia="黑体" w:cs="黑体"/>
          <w:color w:val="000000"/>
          <w:sz w:val="32"/>
          <w:szCs w:val="32"/>
          <w:highlight w:val="none"/>
        </w:rPr>
        <w:t>一、</w:t>
      </w:r>
      <w:r>
        <w:rPr>
          <w:rFonts w:hint="eastAsia" w:ascii="黑体" w:hAnsi="黑体" w:eastAsia="黑体" w:cs="黑体"/>
          <w:color w:val="000000"/>
          <w:sz w:val="32"/>
          <w:szCs w:val="32"/>
          <w:highlight w:val="none"/>
          <w:lang w:eastAsia="zh-CN"/>
        </w:rPr>
        <w:t>制定背景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000000"/>
          <w:kern w:val="0"/>
          <w:sz w:val="32"/>
          <w:szCs w:val="32"/>
          <w:highlight w:val="none"/>
          <w:lang w:val="en-US" w:eastAsia="zh-CN" w:bidi="ar"/>
        </w:rPr>
      </w:pPr>
      <w:r>
        <w:rPr>
          <w:rFonts w:hint="eastAsia" w:ascii="仿宋_GB2312" w:hAnsi="仿宋_GB2312" w:eastAsia="仿宋_GB2312" w:cs="仿宋_GB2312"/>
          <w:color w:val="000000"/>
          <w:sz w:val="32"/>
          <w:szCs w:val="32"/>
          <w:highlight w:val="none"/>
          <w:lang w:eastAsia="zh-CN"/>
        </w:rPr>
        <w:t>近年来，国家和北京市高度重视数字文化产业发展，大力支持游戏电竞产业发展，石景山区作为首都城市复兴新地标和“科幻之城”，已具备发展游戏电竞产业的基础优势。游戏电竞产业</w:t>
      </w:r>
      <w:r>
        <w:rPr>
          <w:rFonts w:hint="default" w:ascii="仿宋_GB2312" w:hAnsi="仿宋_GB2312" w:eastAsia="仿宋_GB2312" w:cs="仿宋_GB2312"/>
          <w:color w:val="000000"/>
          <w:sz w:val="32"/>
          <w:szCs w:val="32"/>
          <w:highlight w:val="none"/>
          <w:lang w:eastAsia="zh-CN"/>
        </w:rPr>
        <w:t>不仅承载着科技创新硬实力，还体现了文化软实力</w:t>
      </w:r>
      <w:r>
        <w:rPr>
          <w:rFonts w:hint="eastAsia" w:ascii="仿宋_GB2312" w:hAnsi="仿宋_GB2312" w:eastAsia="仿宋_GB2312" w:cs="仿宋_GB2312"/>
          <w:color w:val="000000"/>
          <w:sz w:val="32"/>
          <w:szCs w:val="32"/>
          <w:highlight w:val="none"/>
          <w:lang w:eastAsia="zh-CN"/>
        </w:rPr>
        <w:t>的</w:t>
      </w:r>
      <w:r>
        <w:rPr>
          <w:rFonts w:hint="default" w:ascii="仿宋_GB2312" w:hAnsi="仿宋_GB2312" w:eastAsia="仿宋_GB2312" w:cs="仿宋_GB2312"/>
          <w:color w:val="000000"/>
          <w:sz w:val="32"/>
          <w:szCs w:val="32"/>
          <w:highlight w:val="none"/>
          <w:lang w:eastAsia="zh-CN"/>
        </w:rPr>
        <w:t>提升</w:t>
      </w:r>
      <w:r>
        <w:rPr>
          <w:rFonts w:hint="eastAsia" w:ascii="仿宋_GB2312" w:hAnsi="仿宋_GB2312" w:eastAsia="仿宋_GB2312" w:cs="仿宋_GB2312"/>
          <w:color w:val="000000"/>
          <w:sz w:val="32"/>
          <w:szCs w:val="32"/>
          <w:highlight w:val="none"/>
          <w:lang w:eastAsia="zh-CN"/>
        </w:rPr>
        <w:t>，</w:t>
      </w:r>
      <w:r>
        <w:rPr>
          <w:rFonts w:hint="default" w:ascii="仿宋_GB2312" w:hAnsi="仿宋_GB2312" w:eastAsia="仿宋_GB2312" w:cs="仿宋_GB2312"/>
          <w:color w:val="000000"/>
          <w:sz w:val="32"/>
          <w:szCs w:val="32"/>
          <w:highlight w:val="none"/>
          <w:lang w:eastAsia="zh-CN"/>
        </w:rPr>
        <w:t>已发展成为涵盖游戏开发、运营、周边产品等多个环节</w:t>
      </w:r>
      <w:r>
        <w:rPr>
          <w:rFonts w:hint="eastAsia" w:ascii="仿宋_GB2312" w:hAnsi="仿宋_GB2312" w:eastAsia="仿宋_GB2312" w:cs="仿宋_GB2312"/>
          <w:color w:val="000000"/>
          <w:sz w:val="32"/>
          <w:szCs w:val="32"/>
          <w:highlight w:val="none"/>
          <w:lang w:eastAsia="zh-CN"/>
        </w:rPr>
        <w:t>的庞大产业链</w:t>
      </w:r>
      <w:r>
        <w:rPr>
          <w:rFonts w:hint="default" w:ascii="仿宋_GB2312" w:hAnsi="仿宋_GB2312" w:eastAsia="仿宋_GB2312" w:cs="仿宋_GB2312"/>
          <w:color w:val="000000"/>
          <w:sz w:val="32"/>
          <w:szCs w:val="32"/>
          <w:highlight w:val="none"/>
          <w:lang w:eastAsia="zh-CN"/>
        </w:rPr>
        <w:t>。</w:t>
      </w:r>
      <w:r>
        <w:rPr>
          <w:rStyle w:val="9"/>
          <w:rFonts w:hint="eastAsia" w:ascii="仿宋_GB2312" w:hAnsi="仿宋_GB2312" w:eastAsia="仿宋_GB2312" w:cs="仿宋_GB2312"/>
          <w:b w:val="0"/>
          <w:bCs/>
          <w:color w:val="000000"/>
          <w:sz w:val="32"/>
          <w:szCs w:val="32"/>
          <w:highlight w:val="none"/>
        </w:rPr>
        <w:t>为</w:t>
      </w:r>
      <w:r>
        <w:rPr>
          <w:rStyle w:val="9"/>
          <w:rFonts w:hint="eastAsia" w:ascii="仿宋_GB2312" w:hAnsi="仿宋_GB2312" w:eastAsia="仿宋_GB2312" w:cs="仿宋_GB2312"/>
          <w:b w:val="0"/>
          <w:bCs/>
          <w:color w:val="000000"/>
          <w:sz w:val="32"/>
          <w:szCs w:val="32"/>
          <w:highlight w:val="none"/>
          <w:lang w:eastAsia="zh-CN"/>
        </w:rPr>
        <w:t>加快</w:t>
      </w:r>
      <w:r>
        <w:rPr>
          <w:rStyle w:val="9"/>
          <w:rFonts w:hint="eastAsia" w:ascii="仿宋_GB2312" w:hAnsi="仿宋_GB2312" w:eastAsia="仿宋_GB2312" w:cs="仿宋_GB2312"/>
          <w:b w:val="0"/>
          <w:bCs/>
          <w:color w:val="000000"/>
          <w:sz w:val="32"/>
          <w:szCs w:val="32"/>
          <w:highlight w:val="none"/>
        </w:rPr>
        <w:t>提升</w:t>
      </w:r>
      <w:r>
        <w:rPr>
          <w:rStyle w:val="9"/>
          <w:rFonts w:hint="eastAsia" w:ascii="仿宋_GB2312" w:hAnsi="仿宋_GB2312" w:eastAsia="仿宋_GB2312" w:cs="仿宋_GB2312"/>
          <w:b w:val="0"/>
          <w:bCs/>
          <w:color w:val="000000"/>
          <w:sz w:val="32"/>
          <w:szCs w:val="32"/>
          <w:highlight w:val="none"/>
          <w:lang w:eastAsia="zh-CN"/>
        </w:rPr>
        <w:t>石景山区</w:t>
      </w:r>
      <w:r>
        <w:rPr>
          <w:rStyle w:val="9"/>
          <w:rFonts w:hint="eastAsia" w:ascii="仿宋_GB2312" w:hAnsi="仿宋_GB2312" w:eastAsia="仿宋_GB2312" w:cs="仿宋_GB2312"/>
          <w:b w:val="0"/>
          <w:bCs/>
          <w:color w:val="000000"/>
          <w:sz w:val="32"/>
          <w:szCs w:val="32"/>
          <w:highlight w:val="none"/>
          <w:lang w:val="en-US" w:eastAsia="zh-CN"/>
        </w:rPr>
        <w:t>游戏</w:t>
      </w:r>
      <w:r>
        <w:rPr>
          <w:rStyle w:val="9"/>
          <w:rFonts w:hint="eastAsia" w:ascii="仿宋_GB2312" w:hAnsi="仿宋_GB2312" w:eastAsia="仿宋_GB2312" w:cs="仿宋_GB2312"/>
          <w:b w:val="0"/>
          <w:bCs/>
          <w:color w:val="000000"/>
          <w:sz w:val="32"/>
          <w:szCs w:val="32"/>
          <w:highlight w:val="none"/>
        </w:rPr>
        <w:t>电竞全产业链发展能力，促进科技与文化产业深度融合，构建业态完善、特色鲜明、充满活力的产业生态，打造全国游戏</w:t>
      </w:r>
      <w:r>
        <w:rPr>
          <w:rStyle w:val="9"/>
          <w:rFonts w:hint="eastAsia" w:ascii="仿宋_GB2312" w:hAnsi="仿宋_GB2312" w:eastAsia="仿宋_GB2312" w:cs="仿宋_GB2312"/>
          <w:b w:val="0"/>
          <w:bCs/>
          <w:color w:val="000000"/>
          <w:sz w:val="32"/>
          <w:szCs w:val="32"/>
          <w:highlight w:val="none"/>
          <w:lang w:eastAsia="zh-CN"/>
        </w:rPr>
        <w:t>电竞</w:t>
      </w:r>
      <w:r>
        <w:rPr>
          <w:rStyle w:val="9"/>
          <w:rFonts w:hint="eastAsia" w:ascii="仿宋_GB2312" w:hAnsi="仿宋_GB2312" w:eastAsia="仿宋_GB2312" w:cs="仿宋_GB2312"/>
          <w:b w:val="0"/>
          <w:bCs/>
          <w:color w:val="000000"/>
          <w:sz w:val="32"/>
          <w:szCs w:val="32"/>
          <w:highlight w:val="none"/>
        </w:rPr>
        <w:t>产业标杆</w:t>
      </w:r>
      <w:r>
        <w:rPr>
          <w:rStyle w:val="9"/>
          <w:rFonts w:hint="eastAsia" w:ascii="仿宋_GB2312" w:hAnsi="仿宋_GB2312" w:eastAsia="仿宋_GB2312" w:cs="仿宋_GB2312"/>
          <w:b w:val="0"/>
          <w:bCs/>
          <w:color w:val="000000"/>
          <w:sz w:val="32"/>
          <w:szCs w:val="32"/>
          <w:highlight w:val="none"/>
          <w:lang w:eastAsia="zh-CN"/>
        </w:rPr>
        <w:t>，结合本区实际，</w:t>
      </w:r>
      <w:r>
        <w:rPr>
          <w:rFonts w:hint="eastAsia" w:ascii="仿宋_GB2312" w:hAnsi="仿宋_GB2312" w:eastAsia="仿宋_GB2312" w:cs="仿宋_GB2312"/>
          <w:color w:val="000000"/>
          <w:sz w:val="32"/>
          <w:szCs w:val="32"/>
          <w:highlight w:val="none"/>
          <w:lang w:eastAsia="zh-CN"/>
        </w:rPr>
        <w:t>研究制</w:t>
      </w:r>
      <w:r>
        <w:rPr>
          <w:rFonts w:hint="eastAsia" w:ascii="仿宋_GB2312" w:hAnsi="仿宋_GB2312" w:eastAsia="仿宋_GB2312" w:cs="仿宋_GB2312"/>
          <w:bCs/>
          <w:color w:val="000000"/>
          <w:kern w:val="0"/>
          <w:sz w:val="32"/>
          <w:szCs w:val="32"/>
          <w:highlight w:val="none"/>
          <w:lang w:eastAsia="zh-CN" w:bidi="ar"/>
        </w:rPr>
        <w:t>定《石景山区支持游戏电竞产业高质量发展若干措施（试行）》</w:t>
      </w:r>
      <w:r>
        <w:rPr>
          <w:rStyle w:val="9"/>
          <w:rFonts w:hint="eastAsia" w:ascii="仿宋_GB2312" w:hAnsi="仿宋_GB2312" w:eastAsia="仿宋_GB2312" w:cs="仿宋_GB2312"/>
          <w:b w:val="0"/>
          <w:bCs/>
          <w:color w:val="000000"/>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二、制定过程</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Cs/>
          <w:color w:val="000000"/>
          <w:kern w:val="0"/>
          <w:sz w:val="32"/>
          <w:szCs w:val="32"/>
          <w:highlight w:val="none"/>
          <w:lang w:val="en-US" w:eastAsia="zh-CN" w:bidi="ar"/>
        </w:rPr>
      </w:pPr>
      <w:r>
        <w:rPr>
          <w:rFonts w:hint="eastAsia" w:ascii="仿宋_GB2312" w:hAnsi="仿宋_GB2312" w:eastAsia="仿宋_GB2312" w:cs="仿宋_GB2312"/>
          <w:bCs/>
          <w:color w:val="000000"/>
          <w:kern w:val="0"/>
          <w:sz w:val="32"/>
          <w:szCs w:val="32"/>
          <w:highlight w:val="none"/>
          <w:lang w:val="en-US" w:eastAsia="zh-CN" w:bidi="ar"/>
        </w:rPr>
        <w:t>一是深入调研。认真领会中央相关政策文件精神，了解发展诉求和实际需求，开始起草相关文件。</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Cs/>
          <w:color w:val="000000"/>
          <w:kern w:val="0"/>
          <w:sz w:val="32"/>
          <w:szCs w:val="32"/>
          <w:highlight w:val="none"/>
          <w:lang w:val="en-US" w:eastAsia="zh-CN" w:bidi="ar"/>
        </w:rPr>
      </w:pPr>
      <w:r>
        <w:rPr>
          <w:rFonts w:hint="eastAsia" w:ascii="仿宋_GB2312" w:hAnsi="仿宋_GB2312" w:eastAsia="仿宋_GB2312" w:cs="仿宋_GB2312"/>
          <w:bCs/>
          <w:color w:val="000000"/>
          <w:kern w:val="0"/>
          <w:sz w:val="32"/>
          <w:szCs w:val="32"/>
          <w:highlight w:val="none"/>
          <w:lang w:val="en-US" w:eastAsia="zh-CN" w:bidi="ar"/>
        </w:rPr>
        <w:t>二是广泛征求意见。石景山园管委会区科委与区内各相关委办局、游戏企业、律师等充分沟通并征求意见，并根据相关意见对</w:t>
      </w:r>
      <w:r>
        <w:rPr>
          <w:rFonts w:hint="eastAsia" w:ascii="仿宋_GB2312" w:hAnsi="仿宋_GB2312" w:eastAsia="仿宋_GB2312" w:cs="仿宋_GB2312"/>
          <w:bCs/>
          <w:color w:val="000000"/>
          <w:kern w:val="0"/>
          <w:sz w:val="32"/>
          <w:szCs w:val="32"/>
          <w:highlight w:val="none"/>
          <w:lang w:eastAsia="zh-CN" w:bidi="ar"/>
        </w:rPr>
        <w:t>《石景山区支持游戏电竞产业高质量发展若干措施（试行）》</w:t>
      </w:r>
      <w:r>
        <w:rPr>
          <w:rFonts w:hint="eastAsia" w:ascii="仿宋_GB2312" w:hAnsi="仿宋_GB2312" w:eastAsia="仿宋_GB2312" w:cs="仿宋_GB2312"/>
          <w:bCs/>
          <w:color w:val="000000"/>
          <w:kern w:val="0"/>
          <w:sz w:val="32"/>
          <w:szCs w:val="32"/>
          <w:highlight w:val="none"/>
          <w:lang w:val="en-US" w:eastAsia="zh-CN" w:bidi="ar"/>
        </w:rPr>
        <w:t>进行修改。</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eastAsia="仿宋_GB2312"/>
          <w:color w:val="000000"/>
          <w:sz w:val="32"/>
          <w:szCs w:val="32"/>
          <w:highlight w:val="none"/>
          <w:lang w:val="en-US" w:eastAsia="zh-CN"/>
        </w:rPr>
      </w:pPr>
      <w:r>
        <w:rPr>
          <w:rFonts w:hint="eastAsia" w:ascii="仿宋_GB2312" w:hAnsi="仿宋_GB2312" w:eastAsia="仿宋_GB2312" w:cs="仿宋_GB2312"/>
          <w:bCs/>
          <w:color w:val="000000"/>
          <w:kern w:val="0"/>
          <w:sz w:val="32"/>
          <w:szCs w:val="32"/>
          <w:highlight w:val="none"/>
          <w:lang w:val="en-US" w:eastAsia="zh-CN" w:bidi="ar"/>
        </w:rPr>
        <w:t>三是开展审查咨询工作。石景山园管委会区科委与区司法局、区市场监管局进行沟通，开展</w:t>
      </w:r>
      <w:r>
        <w:rPr>
          <w:rFonts w:hint="eastAsia" w:ascii="仿宋_GB2312" w:hAnsi="仿宋_GB2312" w:eastAsia="仿宋_GB2312" w:cs="仿宋_GB2312"/>
          <w:bCs/>
          <w:color w:val="000000"/>
          <w:kern w:val="0"/>
          <w:sz w:val="32"/>
          <w:szCs w:val="32"/>
          <w:highlight w:val="none"/>
          <w:lang w:eastAsia="zh-CN" w:bidi="ar"/>
        </w:rPr>
        <w:t>《石景山区支持游戏电竞产业高质量发展若干措施（试行）》</w:t>
      </w:r>
      <w:r>
        <w:rPr>
          <w:rFonts w:hint="eastAsia" w:ascii="仿宋_GB2312" w:hAnsi="仿宋_GB2312" w:eastAsia="仿宋_GB2312" w:cs="仿宋_GB2312"/>
          <w:bCs/>
          <w:color w:val="000000"/>
          <w:kern w:val="0"/>
          <w:sz w:val="32"/>
          <w:szCs w:val="32"/>
          <w:highlight w:val="none"/>
          <w:lang w:val="en-US" w:eastAsia="zh-CN" w:bidi="ar"/>
        </w:rPr>
        <w:t>合法性审查、公平竞争审查等前期咨询工作。</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黑体" w:hAnsi="黑体" w:eastAsia="黑体" w:cs="黑体"/>
          <w:b w:val="0"/>
          <w:bCs w:val="0"/>
          <w:color w:val="000000"/>
          <w:spacing w:val="0"/>
          <w:kern w:val="2"/>
          <w:sz w:val="32"/>
          <w:szCs w:val="32"/>
          <w:highlight w:val="none"/>
          <w:lang w:val="en-US" w:eastAsia="zh-CN" w:bidi="ar-SA"/>
        </w:rPr>
      </w:pPr>
      <w:r>
        <w:rPr>
          <w:rFonts w:hint="eastAsia" w:ascii="黑体" w:hAnsi="黑体" w:eastAsia="黑体" w:cs="黑体"/>
          <w:b w:val="0"/>
          <w:bCs w:val="0"/>
          <w:color w:val="000000"/>
          <w:spacing w:val="0"/>
          <w:kern w:val="2"/>
          <w:sz w:val="32"/>
          <w:szCs w:val="32"/>
          <w:highlight w:val="none"/>
          <w:lang w:val="en-US" w:eastAsia="zh-CN" w:bidi="ar-SA"/>
        </w:rPr>
        <w:t>三、主要内容</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000000"/>
          <w:kern w:val="0"/>
          <w:sz w:val="32"/>
          <w:szCs w:val="32"/>
          <w:highlight w:val="none"/>
          <w:lang w:val="en-US" w:eastAsia="zh-CN" w:bidi="ar"/>
        </w:rPr>
      </w:pPr>
      <w:r>
        <w:rPr>
          <w:rFonts w:hint="eastAsia" w:ascii="仿宋_GB2312" w:hAnsi="仿宋_GB2312" w:eastAsia="仿宋_GB2312" w:cs="仿宋_GB2312"/>
          <w:bCs/>
          <w:color w:val="000000"/>
          <w:kern w:val="0"/>
          <w:sz w:val="32"/>
          <w:szCs w:val="32"/>
          <w:highlight w:val="none"/>
          <w:lang w:eastAsia="zh-CN" w:bidi="ar"/>
        </w:rPr>
        <w:t>《石景山区支持游戏电竞产业高质量发展若干措施（试行）》内容包括十七条。一是</w:t>
      </w:r>
      <w:r>
        <w:rPr>
          <w:rStyle w:val="9"/>
          <w:rFonts w:hint="eastAsia" w:ascii="仿宋_GB2312" w:hAnsi="仿宋_GB2312" w:eastAsia="仿宋_GB2312" w:cs="仿宋_GB2312"/>
          <w:b w:val="0"/>
          <w:bCs/>
          <w:color w:val="000000"/>
          <w:kern w:val="2"/>
          <w:sz w:val="32"/>
          <w:szCs w:val="32"/>
          <w:highlight w:val="none"/>
          <w:lang w:val="en-US" w:eastAsia="zh-CN" w:bidi="ar-SA"/>
        </w:rPr>
        <w:t>强化版号申报服务</w:t>
      </w:r>
      <w:r>
        <w:rPr>
          <w:rFonts w:hint="eastAsia" w:ascii="仿宋_GB2312" w:hAnsi="仿宋_GB2312" w:eastAsia="仿宋_GB2312" w:cs="仿宋_GB2312"/>
          <w:bCs/>
          <w:color w:val="000000"/>
          <w:kern w:val="0"/>
          <w:sz w:val="32"/>
          <w:szCs w:val="32"/>
          <w:highlight w:val="none"/>
          <w:lang w:eastAsia="zh-CN" w:bidi="ar"/>
        </w:rPr>
        <w:t>；二是</w:t>
      </w:r>
      <w:r>
        <w:rPr>
          <w:rStyle w:val="9"/>
          <w:rFonts w:hint="eastAsia" w:ascii="仿宋_GB2312" w:hAnsi="仿宋_GB2312" w:eastAsia="仿宋_GB2312" w:cs="仿宋_GB2312"/>
          <w:b w:val="0"/>
          <w:bCs/>
          <w:color w:val="000000"/>
          <w:kern w:val="2"/>
          <w:sz w:val="32"/>
          <w:szCs w:val="32"/>
          <w:highlight w:val="none"/>
          <w:lang w:val="en-US" w:eastAsia="zh-CN" w:bidi="ar-SA"/>
        </w:rPr>
        <w:t>奖励优秀原创作品；三是</w:t>
      </w:r>
      <w:r>
        <w:rPr>
          <w:rStyle w:val="9"/>
          <w:rFonts w:hint="eastAsia" w:ascii="仿宋_GB2312" w:hAnsi="仿宋_GB2312" w:eastAsia="仿宋_GB2312" w:cs="仿宋_GB2312"/>
          <w:b w:val="0"/>
          <w:bCs/>
          <w:color w:val="000000"/>
          <w:sz w:val="32"/>
          <w:szCs w:val="32"/>
          <w:highlight w:val="none"/>
          <w:lang w:val="en-US" w:eastAsia="zh-CN"/>
        </w:rPr>
        <w:t>支持关键技术研发；四</w:t>
      </w:r>
      <w:r>
        <w:rPr>
          <w:rFonts w:hint="eastAsia" w:ascii="仿宋_GB2312" w:hAnsi="仿宋_GB2312" w:eastAsia="仿宋_GB2312" w:cs="仿宋_GB2312"/>
          <w:bCs/>
          <w:color w:val="000000"/>
          <w:kern w:val="0"/>
          <w:sz w:val="32"/>
          <w:szCs w:val="32"/>
          <w:highlight w:val="none"/>
          <w:lang w:eastAsia="zh-CN" w:bidi="ar"/>
        </w:rPr>
        <w:t>是</w:t>
      </w:r>
      <w:r>
        <w:rPr>
          <w:rStyle w:val="9"/>
          <w:rFonts w:hint="eastAsia" w:ascii="仿宋_GB2312" w:hAnsi="仿宋_GB2312" w:eastAsia="仿宋_GB2312" w:cs="仿宋_GB2312"/>
          <w:b w:val="0"/>
          <w:bCs/>
          <w:color w:val="000000"/>
          <w:kern w:val="2"/>
          <w:sz w:val="32"/>
          <w:szCs w:val="32"/>
          <w:highlight w:val="none"/>
          <w:lang w:val="en-US" w:eastAsia="zh-CN" w:bidi="ar-SA"/>
        </w:rPr>
        <w:t>支持创新平台建设；五是建设炫酷应用场景；六是支持培育新兴业态；七是鼓励科文融合发展；八是</w:t>
      </w:r>
      <w:r>
        <w:rPr>
          <w:rStyle w:val="9"/>
          <w:rFonts w:hint="eastAsia" w:ascii="仿宋_GB2312" w:hAnsi="仿宋_GB2312" w:eastAsia="仿宋_GB2312" w:cs="仿宋_GB2312"/>
          <w:b w:val="0"/>
          <w:bCs/>
          <w:color w:val="000000"/>
          <w:sz w:val="32"/>
          <w:szCs w:val="32"/>
          <w:highlight w:val="none"/>
          <w:lang w:val="en-US" w:eastAsia="zh-CN"/>
        </w:rPr>
        <w:t>引入创新策源力量；九是</w:t>
      </w:r>
      <w:r>
        <w:rPr>
          <w:rStyle w:val="9"/>
          <w:rFonts w:hint="eastAsia" w:ascii="仿宋_GB2312" w:hAnsi="仿宋_GB2312" w:eastAsia="仿宋_GB2312" w:cs="仿宋_GB2312"/>
          <w:b w:val="0"/>
          <w:bCs/>
          <w:color w:val="000000"/>
          <w:kern w:val="2"/>
          <w:sz w:val="32"/>
          <w:szCs w:val="32"/>
          <w:highlight w:val="none"/>
          <w:lang w:val="en-US" w:eastAsia="zh-CN" w:bidi="ar-SA"/>
        </w:rPr>
        <w:t>鼓励开展孵化服务；十是鼓励企业强化合作；十一是支持活动赛事举办；十二是支持培育电竞俱乐部；十三是支持建设电竞场馆；十四是助力企业游戏出海；十五是加大金融支持力度；十六是优化人才服务保障。十七是附则。包括</w:t>
      </w:r>
      <w:r>
        <w:rPr>
          <w:rStyle w:val="9"/>
          <w:rFonts w:hint="eastAsia" w:ascii="仿宋_GB2312" w:hAnsi="仿宋_GB2312" w:eastAsia="仿宋_GB2312" w:cs="仿宋_GB2312"/>
          <w:b w:val="0"/>
          <w:bCs/>
          <w:color w:val="000000"/>
          <w:sz w:val="32"/>
          <w:szCs w:val="32"/>
          <w:highlight w:val="none"/>
        </w:rPr>
        <w:t>本措施自公布之日起施行，</w:t>
      </w:r>
      <w:r>
        <w:rPr>
          <w:rStyle w:val="9"/>
          <w:rFonts w:hint="eastAsia" w:ascii="仿宋_GB2312" w:hAnsi="仿宋_GB2312" w:eastAsia="仿宋_GB2312" w:cs="仿宋_GB2312"/>
          <w:b w:val="0"/>
          <w:bCs/>
          <w:color w:val="000000"/>
          <w:sz w:val="32"/>
          <w:szCs w:val="32"/>
          <w:highlight w:val="none"/>
          <w:lang w:val="en-US" w:eastAsia="zh-CN"/>
        </w:rPr>
        <w:t>有效期为</w:t>
      </w:r>
      <w:r>
        <w:rPr>
          <w:rStyle w:val="9"/>
          <w:rFonts w:hint="eastAsia" w:ascii="仿宋_GB2312" w:hAnsi="仿宋_GB2312" w:eastAsia="仿宋_GB2312" w:cs="仿宋_GB2312"/>
          <w:b w:val="0"/>
          <w:bCs/>
          <w:color w:val="000000"/>
          <w:sz w:val="32"/>
          <w:szCs w:val="32"/>
          <w:highlight w:val="none"/>
        </w:rPr>
        <w:t>三年</w:t>
      </w:r>
      <w:r>
        <w:rPr>
          <w:rStyle w:val="9"/>
          <w:rFonts w:hint="eastAsia" w:ascii="仿宋_GB2312" w:hAnsi="仿宋_GB2312" w:eastAsia="仿宋_GB2312" w:cs="仿宋_GB2312"/>
          <w:b w:val="0"/>
          <w:bCs/>
          <w:color w:val="000000"/>
          <w:sz w:val="32"/>
          <w:szCs w:val="32"/>
          <w:highlight w:val="none"/>
          <w:lang w:eastAsia="zh-CN"/>
        </w:rPr>
        <w:t>；</w:t>
      </w:r>
      <w:r>
        <w:rPr>
          <w:rStyle w:val="9"/>
          <w:rFonts w:hint="eastAsia" w:ascii="仿宋_GB2312" w:hAnsi="仿宋_GB2312" w:eastAsia="仿宋_GB2312" w:cs="仿宋_GB2312"/>
          <w:b w:val="0"/>
          <w:color w:val="000000"/>
          <w:sz w:val="32"/>
          <w:szCs w:val="32"/>
          <w:highlight w:val="none"/>
        </w:rPr>
        <w:t>同一项目符合本措施多个条款规定的，按照“从优不重复”的原则予以支持</w:t>
      </w:r>
      <w:r>
        <w:rPr>
          <w:rStyle w:val="9"/>
          <w:rFonts w:hint="eastAsia" w:ascii="仿宋_GB2312" w:hAnsi="仿宋_GB2312" w:eastAsia="仿宋_GB2312" w:cs="仿宋_GB2312"/>
          <w:b w:val="0"/>
          <w:color w:val="000000"/>
          <w:sz w:val="32"/>
          <w:szCs w:val="32"/>
          <w:highlight w:val="none"/>
          <w:lang w:eastAsia="zh-CN"/>
        </w:rPr>
        <w:t>；本措施</w:t>
      </w:r>
      <w:r>
        <w:rPr>
          <w:rStyle w:val="9"/>
          <w:rFonts w:hint="eastAsia" w:ascii="仿宋_GB2312" w:hAnsi="仿宋_GB2312" w:eastAsia="仿宋_GB2312" w:cs="仿宋_GB2312"/>
          <w:b w:val="0"/>
          <w:bCs/>
          <w:color w:val="000000"/>
          <w:sz w:val="32"/>
          <w:szCs w:val="32"/>
          <w:highlight w:val="none"/>
        </w:rPr>
        <w:t>由石景山园管委会区科委发布申报通知，申报单位按照申报通知提交申报书及相关证明材料。</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黑体" w:hAnsi="黑体" w:eastAsia="黑体" w:cs="黑体"/>
          <w:b w:val="0"/>
          <w:bCs w:val="0"/>
          <w:color w:val="000000"/>
          <w:spacing w:val="0"/>
          <w:kern w:val="2"/>
          <w:sz w:val="32"/>
          <w:szCs w:val="32"/>
          <w:highlight w:val="none"/>
          <w:lang w:val="en-US" w:eastAsia="zh-CN" w:bidi="ar-SA"/>
        </w:rPr>
      </w:pPr>
      <w:r>
        <w:rPr>
          <w:rFonts w:hint="eastAsia" w:ascii="黑体" w:hAnsi="黑体" w:eastAsia="黑体" w:cs="黑体"/>
          <w:b w:val="0"/>
          <w:bCs w:val="0"/>
          <w:color w:val="000000"/>
          <w:spacing w:val="0"/>
          <w:kern w:val="2"/>
          <w:sz w:val="32"/>
          <w:szCs w:val="32"/>
          <w:highlight w:val="none"/>
          <w:lang w:val="en-US" w:eastAsia="zh-CN" w:bidi="ar-SA"/>
        </w:rPr>
        <w:t>四、发布方式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bCs/>
          <w:color w:val="000000"/>
          <w:kern w:val="0"/>
          <w:sz w:val="32"/>
          <w:szCs w:val="32"/>
          <w:highlight w:val="none"/>
          <w:lang w:val="en-US" w:eastAsia="zh-CN" w:bidi="ar"/>
        </w:rPr>
      </w:pPr>
      <w:r>
        <w:rPr>
          <w:rFonts w:hint="eastAsia" w:ascii="仿宋_GB2312" w:hAnsi="仿宋_GB2312" w:eastAsia="仿宋_GB2312" w:cs="仿宋_GB2312"/>
          <w:bCs/>
          <w:color w:val="000000"/>
          <w:kern w:val="0"/>
          <w:sz w:val="32"/>
          <w:szCs w:val="32"/>
          <w:highlight w:val="none"/>
          <w:lang w:eastAsia="zh-CN" w:bidi="ar"/>
        </w:rPr>
        <w:t>《石景山区支持游戏电竞产业高质量发展若干措施（试行）》</w:t>
      </w:r>
      <w:r>
        <w:rPr>
          <w:rFonts w:hint="eastAsia" w:ascii="仿宋_GB2312" w:hAnsi="仿宋_GB2312" w:eastAsia="仿宋_GB2312" w:cs="仿宋_GB2312"/>
          <w:bCs/>
          <w:color w:val="000000"/>
          <w:kern w:val="0"/>
          <w:sz w:val="32"/>
          <w:szCs w:val="32"/>
          <w:highlight w:val="none"/>
          <w:lang w:val="en-US" w:eastAsia="zh-CN" w:bidi="ar"/>
        </w:rPr>
        <w:t>拟以</w:t>
      </w:r>
      <w:bookmarkStart w:id="0" w:name="OLE_LINK2"/>
      <w:r>
        <w:rPr>
          <w:rFonts w:hint="eastAsia" w:ascii="仿宋_GB2312" w:hAnsi="仿宋_GB2312" w:eastAsia="仿宋_GB2312" w:cs="仿宋_GB2312"/>
          <w:color w:val="000000"/>
          <w:kern w:val="2"/>
          <w:sz w:val="32"/>
          <w:szCs w:val="32"/>
          <w:highlight w:val="none"/>
          <w:lang w:val="en-US" w:eastAsia="zh-CN"/>
        </w:rPr>
        <w:t>中关村科技园区石景山园管理委员会北京市石景山区科学技术委员会</w:t>
      </w:r>
      <w:bookmarkEnd w:id="0"/>
      <w:r>
        <w:rPr>
          <w:rFonts w:hint="eastAsia" w:ascii="仿宋_GB2312" w:hAnsi="仿宋_GB2312" w:eastAsia="仿宋_GB2312" w:cs="仿宋_GB2312"/>
          <w:color w:val="000000"/>
          <w:kern w:val="2"/>
          <w:sz w:val="32"/>
          <w:szCs w:val="32"/>
          <w:highlight w:val="none"/>
          <w:lang w:val="en-US" w:eastAsia="zh-CN"/>
        </w:rPr>
        <w:t>和中共北京市石景山区委宣传部</w:t>
      </w:r>
      <w:r>
        <w:rPr>
          <w:rFonts w:hint="eastAsia" w:ascii="仿宋_GB2312" w:hAnsi="仿宋_GB2312" w:eastAsia="仿宋_GB2312" w:cs="仿宋_GB2312"/>
          <w:bCs/>
          <w:color w:val="000000"/>
          <w:kern w:val="0"/>
          <w:sz w:val="32"/>
          <w:szCs w:val="32"/>
          <w:highlight w:val="none"/>
          <w:lang w:val="en-US" w:eastAsia="zh-CN" w:bidi="ar"/>
        </w:rPr>
        <w:t>的名义印发。文件出台后，</w:t>
      </w:r>
      <w:r>
        <w:rPr>
          <w:rFonts w:hint="eastAsia" w:ascii="仿宋_GB2312" w:hAnsi="仿宋_GB2312" w:eastAsia="仿宋_GB2312" w:cs="仿宋_GB2312"/>
          <w:color w:val="000000"/>
          <w:kern w:val="2"/>
          <w:sz w:val="32"/>
          <w:szCs w:val="32"/>
          <w:highlight w:val="none"/>
          <w:lang w:val="en-US" w:eastAsia="zh-CN"/>
        </w:rPr>
        <w:t>中关村科技园区石景山园管理委员会北京市石景山区科学技术委员会和中共北京市石景山区委宣传部</w:t>
      </w:r>
      <w:r>
        <w:rPr>
          <w:rFonts w:hint="eastAsia" w:ascii="仿宋_GB2312" w:hAnsi="仿宋_GB2312" w:eastAsia="仿宋_GB2312" w:cs="仿宋_GB2312"/>
          <w:bCs/>
          <w:color w:val="000000"/>
          <w:kern w:val="0"/>
          <w:sz w:val="32"/>
          <w:szCs w:val="32"/>
          <w:highlight w:val="none"/>
          <w:lang w:val="en-US" w:eastAsia="zh-CN" w:bidi="ar"/>
        </w:rPr>
        <w:t>将</w:t>
      </w:r>
      <w:r>
        <w:rPr>
          <w:rFonts w:hint="default" w:ascii="仿宋_GB2312" w:hAnsi="仿宋_GB2312" w:eastAsia="仿宋_GB2312" w:cs="仿宋_GB2312"/>
          <w:bCs/>
          <w:color w:val="000000"/>
          <w:kern w:val="0"/>
          <w:sz w:val="32"/>
          <w:szCs w:val="32"/>
          <w:highlight w:val="none"/>
          <w:lang w:val="en-US" w:eastAsia="zh-CN" w:bidi="ar"/>
        </w:rPr>
        <w:t>切实做好</w:t>
      </w:r>
      <w:r>
        <w:rPr>
          <w:rFonts w:hint="eastAsia" w:ascii="仿宋_GB2312" w:hAnsi="仿宋_GB2312" w:eastAsia="仿宋_GB2312" w:cs="仿宋_GB2312"/>
          <w:bCs/>
          <w:color w:val="000000"/>
          <w:kern w:val="0"/>
          <w:sz w:val="32"/>
          <w:szCs w:val="32"/>
          <w:highlight w:val="none"/>
          <w:lang w:val="en-US" w:eastAsia="zh-CN" w:bidi="ar"/>
        </w:rPr>
        <w:t>政策兑现</w:t>
      </w:r>
      <w:r>
        <w:rPr>
          <w:rFonts w:hint="default" w:ascii="仿宋_GB2312" w:hAnsi="仿宋_GB2312" w:eastAsia="仿宋_GB2312" w:cs="仿宋_GB2312"/>
          <w:bCs/>
          <w:color w:val="000000"/>
          <w:kern w:val="0"/>
          <w:sz w:val="32"/>
          <w:szCs w:val="32"/>
          <w:highlight w:val="none"/>
          <w:lang w:val="en-US" w:eastAsia="zh-CN" w:bidi="ar"/>
        </w:rPr>
        <w:t>工作。</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黑体" w:hAnsi="黑体" w:eastAsia="黑体" w:cs="黑体"/>
          <w:color w:val="000000"/>
          <w:sz w:val="32"/>
          <w:szCs w:val="32"/>
          <w:highlight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长城小标宋体">
    <w:altName w:val="方正小标宋简体"/>
    <w:panose1 w:val="00000000000000000000"/>
    <w:charset w:val="00"/>
    <w:family w:val="modern"/>
    <w:pitch w:val="default"/>
    <w:sig w:usb0="00000000" w:usb1="00000000" w:usb2="00000000"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5EAD5E"/>
    <w:rsid w:val="5D5EA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4"/>
    <w:next w:val="1"/>
    <w:unhideWhenUsed/>
    <w:qFormat/>
    <w:uiPriority w:val="0"/>
    <w:pPr>
      <w:keepNext w:val="0"/>
      <w:keepLines w:val="0"/>
      <w:spacing w:beforeLines="0" w:beforeAutospacing="0" w:afterLines="0" w:afterAutospacing="0" w:line="300" w:lineRule="auto"/>
      <w:ind w:firstLine="0" w:firstLineChars="0"/>
      <w:jc w:val="center"/>
      <w:outlineLvl w:val="3"/>
    </w:pPr>
    <w:rPr>
      <w:rFonts w:eastAsia="长城小标宋体" w:cs="Times New Roman"/>
      <w:b/>
      <w:bCs/>
      <w:spacing w:val="6"/>
      <w:sz w:val="44"/>
      <w:szCs w:val="44"/>
    </w:rPr>
  </w:style>
  <w:style w:type="paragraph" w:styleId="4">
    <w:name w:val="heading 5"/>
    <w:basedOn w:val="1"/>
    <w:next w:val="1"/>
    <w:unhideWhenUsed/>
    <w:qFormat/>
    <w:uiPriority w:val="0"/>
    <w:pPr>
      <w:ind w:left="1400" w:hanging="400"/>
      <w:outlineLvl w:val="4"/>
    </w:pPr>
    <w:rPr>
      <w:rFonts w:ascii="Calibri" w:hAnsi="Calibri" w:eastAsia="宋体"/>
      <w:szCs w:val="21"/>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toc 3"/>
    <w:basedOn w:val="1"/>
    <w:next w:val="1"/>
    <w:uiPriority w:val="0"/>
    <w:pPr>
      <w:ind w:left="840" w:leftChars="400"/>
    </w:pPr>
    <w:rPr>
      <w:rFonts w:eastAsia="宋体" w:cs="Times New Roman"/>
    </w:rPr>
  </w:style>
  <w:style w:type="paragraph" w:styleId="5">
    <w:name w:val="Body Text"/>
    <w:basedOn w:val="1"/>
    <w:next w:val="1"/>
    <w:uiPriority w:val="0"/>
    <w:pPr>
      <w:widowControl/>
      <w:spacing w:after="120" w:line="580" w:lineRule="exact"/>
      <w:jc w:val="center"/>
    </w:pPr>
    <w:rPr>
      <w:rFonts w:ascii="宋体" w:hAnsi="Times New Roman"/>
      <w:b/>
      <w:color w:val="000000"/>
      <w:sz w:val="44"/>
      <w:szCs w:val="20"/>
    </w:rPr>
  </w:style>
  <w:style w:type="paragraph" w:styleId="6">
    <w:name w:val="Plain Text"/>
    <w:basedOn w:val="1"/>
    <w:next w:val="1"/>
    <w:uiPriority w:val="0"/>
    <w:rPr>
      <w:rFonts w:ascii="宋体" w:hAnsi="Courier New" w:cs="Courier New"/>
      <w:szCs w:val="21"/>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2025-03-10T17:04:00Z</dcterms:created>
  <dc:creator>Jing</dc:creator>
  <cp:lastModifiedBy>Jing</cp:lastModifiedBy>
  <dcterms:modified xsi:type="dcterms:W3CDTF">2025-03-10T17:05:14Z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F0707EA2B81F520A38ABCE673A6DEFDF_41</vt:lpwstr>
  </property>
</Properties>
</file>