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60" w:lineRule="exact"/>
        <w:outlineLvl w:val="0"/>
        <w:rPr>
          <w:rFonts w:hint="eastAsia" w:ascii="方正小标宋简体" w:hAnsi="方正小标宋简体" w:eastAsia="方正小标宋简体" w:cs="方正小标宋简体"/>
          <w:sz w:val="44"/>
          <w:szCs w:val="44"/>
        </w:rPr>
      </w:pPr>
      <w:r>
        <w:rPr>
          <w:rFonts w:hint="eastAsia" w:ascii="黑体" w:hAnsi="黑体" w:eastAsia="黑体" w:cs="黑体"/>
          <w:color w:val="333333"/>
          <w:spacing w:val="15"/>
          <w:kern w:val="0"/>
          <w:sz w:val="32"/>
          <w:szCs w:val="32"/>
          <w:shd w:val="clear" w:color="auto" w:fill="FFFFFF"/>
        </w:rPr>
        <w:t>附件</w:t>
      </w:r>
    </w:p>
    <w:p>
      <w:pPr>
        <w:pStyle w:val="7"/>
        <w:spacing w:beforeAutospacing="0" w:after="0" w:afterAutospacing="0"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2024年全年批零增量奖励</w:t>
      </w:r>
    </w:p>
    <w:p>
      <w:pPr>
        <w:pStyle w:val="7"/>
        <w:spacing w:beforeAutospacing="0" w:after="0" w:afterAutospacing="0" w:line="6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办事指南</w:t>
      </w:r>
    </w:p>
    <w:p>
      <w:pPr>
        <w:pStyle w:val="7"/>
        <w:spacing w:beforeAutospacing="0" w:after="0" w:afterAutospacing="0" w:line="560" w:lineRule="exact"/>
        <w:jc w:val="center"/>
      </w:pPr>
    </w:p>
    <w:p>
      <w:pPr>
        <w:spacing w:after="0" w:line="600" w:lineRule="exact"/>
        <w:ind w:firstLine="640" w:firstLineChars="200"/>
        <w:outlineLvl w:val="0"/>
        <w:rPr>
          <w:rFonts w:hint="eastAsia" w:ascii="黑体" w:hAnsi="黑体" w:eastAsia="黑体" w:cs="黑体"/>
          <w:color w:val="000000"/>
          <w:kern w:val="0"/>
          <w:sz w:val="32"/>
          <w:szCs w:val="32"/>
        </w:rPr>
      </w:pPr>
      <w:r>
        <w:rPr>
          <w:rFonts w:hint="eastAsia" w:ascii="黑体" w:hAnsi="黑体" w:eastAsia="黑体" w:cs="黑体"/>
          <w:sz w:val="32"/>
          <w:szCs w:val="32"/>
        </w:rPr>
        <w:t>一、政策依据</w:t>
      </w:r>
    </w:p>
    <w:p>
      <w:pPr>
        <w:spacing w:after="0" w:line="600" w:lineRule="exact"/>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北京经济技术开发区关于巩固和增强经济回升向好态势的若干措施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京技管发〔2024〕3号</w:t>
      </w:r>
      <w:r>
        <w:rPr>
          <w:rFonts w:hint="eastAsia" w:ascii="仿宋_GB2312" w:hAnsi="仿宋_GB2312" w:eastAsia="仿宋_GB2312" w:cs="仿宋_GB2312"/>
          <w:sz w:val="32"/>
          <w:szCs w:val="32"/>
        </w:rPr>
        <w:t>）》（以下简称《措施》）中第8条“推动消费持续扩大。支持生活性服务业发展，培育壮大新型消费，增强经济增长内生动力。批发和零售业企业2024年</w:t>
      </w:r>
      <w:r>
        <w:rPr>
          <w:rFonts w:hint="eastAsia" w:ascii="仿宋_GB2312" w:hAnsi="仿宋_GB2312" w:eastAsia="仿宋_GB2312" w:cs="仿宋_GB2312"/>
          <w:sz w:val="32"/>
          <w:szCs w:val="32"/>
          <w:u w:val="none"/>
        </w:rPr>
        <w:t>全年</w:t>
      </w:r>
      <w:r>
        <w:rPr>
          <w:rFonts w:hint="eastAsia" w:ascii="仿宋_GB2312" w:hAnsi="仿宋_GB2312" w:eastAsia="仿宋_GB2312" w:cs="仿宋_GB2312"/>
          <w:sz w:val="32"/>
          <w:szCs w:val="32"/>
        </w:rPr>
        <w:t>销售额增速达4.5%-6.5%的，按全年销售额增量部分的0.1%给予支持；销售额增速达6.5%的，按销售额增量部分的0.2%给予支持；全年最高不超过200</w:t>
      </w:r>
      <w:bookmarkStart w:id="0" w:name="_GoBack"/>
      <w:bookmarkEnd w:id="0"/>
      <w:r>
        <w:rPr>
          <w:rFonts w:hint="eastAsia" w:ascii="仿宋_GB2312" w:hAnsi="仿宋_GB2312" w:eastAsia="仿宋_GB2312" w:cs="仿宋_GB2312"/>
          <w:sz w:val="32"/>
          <w:szCs w:val="32"/>
        </w:rPr>
        <w:t>万元。</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二、申报事项</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2024年全年批零增量奖励</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bCs/>
          <w:color w:val="000000"/>
          <w:kern w:val="0"/>
          <w:sz w:val="32"/>
          <w:szCs w:val="32"/>
        </w:rPr>
        <w:t>三、申报条件</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批发和零售企业（统计代码51-52开头）。</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2024年全年（1-12月）销售额同比增速大于等于4.5%。</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亦庄新城225平方公里范围内依法经营。</w:t>
      </w:r>
    </w:p>
    <w:p>
      <w:pPr>
        <w:numPr>
          <w:ilvl w:val="0"/>
          <w:numId w:val="1"/>
        </w:num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近三年（2022年1月1日至2024年12月31日）无重大行政处罚及刑事犯罪记录、未列入严重违法失信主体名单的批发和零售业企业。</w:t>
      </w:r>
    </w:p>
    <w:p>
      <w:pPr>
        <w:spacing w:after="0" w:line="600" w:lineRule="exact"/>
        <w:ind w:firstLine="640" w:firstLineChars="200"/>
        <w:outlineLvl w:val="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（一）企业2024年全年（1-12月）销售额增速达4.5%-6.5%的，按全年销售额增量部分的0.1%给予支持；企业2024年全年（1-12月）销售额增速达6.5%的，按销售额增量部分的0.2%给予支持；全年最高不超过200万元。</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（二）兑现金额以万元为单位，保留一位小数，低于</w:t>
      </w:r>
      <w:r>
        <w:rPr>
          <w:rFonts w:ascii="仿宋_GB2312" w:hAnsi="仿宋_GB2312" w:eastAsia="仿宋_GB2312" w:cs="仿宋_GB2312"/>
          <w:sz w:val="32"/>
          <w:szCs w:val="32"/>
        </w:rPr>
        <w:t>1万元不予兑现</w:t>
      </w:r>
      <w:r>
        <w:rPr>
          <w:rFonts w:hint="eastAsia" w:ascii="仿宋_GB2312" w:hAnsi="仿宋_GB2312" w:eastAsia="仿宋_GB2312" w:cs="仿宋_GB2312"/>
          <w:sz w:val="32"/>
          <w:szCs w:val="32"/>
        </w:rPr>
        <w:t>，不足千元部分舍去</w:t>
      </w:r>
      <w:r>
        <w:rPr>
          <w:rFonts w:ascii="仿宋_GB2312" w:hAnsi="仿宋_GB2312" w:eastAsia="仿宋_GB2312" w:cs="仿宋_GB2312"/>
          <w:sz w:val="32"/>
          <w:szCs w:val="32"/>
        </w:rPr>
        <w:t>。</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（三）同一企业在兑现全年支持资金时，需扣除已获得2024年一季度批零增量奖励支持资金部分。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（四）对于2023年（1-12月）批发和零售销售额数据为0的企业，2023年（1-12月）批发业销售额计算基数为2000万，零售业销售额计算基数为500万。</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（五）本次奖励与经开区《北京经济技术开发区促进商业领域发展的若干措施（试行）》中2024</w:t>
      </w:r>
      <w:r>
        <w:rPr>
          <w:rFonts w:hint="eastAsia" w:eastAsia="仿宋_GB2312" w:cs="仿宋_GB2312"/>
          <w:sz w:val="32"/>
          <w:szCs w:val="32"/>
        </w:rPr>
        <w:t>年零售、餐饮业销售额奖励</w:t>
      </w:r>
      <w:r>
        <w:rPr>
          <w:rFonts w:hint="eastAsia" w:ascii="仿宋_GB2312" w:hAnsi="仿宋_GB2312" w:eastAsia="仿宋_GB2312" w:cs="仿宋_GB2312"/>
          <w:sz w:val="32"/>
          <w:szCs w:val="32"/>
        </w:rPr>
        <w:t>从优不重复享受，企业自主选择申报。</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五、申报材料及要求</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2024年全年批零增量奖励</w:t>
      </w:r>
      <w:r>
        <w:rPr>
          <w:rFonts w:ascii="仿宋_GB2312" w:hAnsi="仿宋_GB2312" w:eastAsia="仿宋_GB2312" w:cs="仿宋_GB2312"/>
          <w:sz w:val="32"/>
          <w:szCs w:val="32"/>
        </w:rPr>
        <w:t>申报表</w:t>
      </w:r>
      <w:r>
        <w:rPr>
          <w:rFonts w:hint="eastAsia" w:ascii="仿宋_GB2312" w:hAnsi="仿宋_GB2312" w:eastAsia="仿宋_GB2312" w:cs="仿宋_GB2312"/>
          <w:sz w:val="32"/>
          <w:szCs w:val="32"/>
        </w:rPr>
        <w:t>，在线填写；</w:t>
      </w:r>
    </w:p>
    <w:p>
      <w:pPr>
        <w:spacing w:after="0"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2.企业营业执照</w:t>
      </w:r>
      <w:r>
        <w:rPr>
          <w:rFonts w:hint="eastAsia" w:ascii="仿宋_GB2312" w:hAnsi="仿宋_GB2312" w:eastAsia="仿宋_GB2312" w:cs="仿宋_GB2312"/>
          <w:sz w:val="32"/>
          <w:szCs w:val="32"/>
        </w:rPr>
        <w:t>，选取电子证照；</w:t>
      </w:r>
    </w:p>
    <w:p>
      <w:pPr>
        <w:spacing w:after="0" w:line="600" w:lineRule="exact"/>
        <w:ind w:firstLine="640" w:firstLineChars="200"/>
        <w:outlineLvl w:val="2"/>
        <w:rPr>
          <w:rFonts w:hint="eastAsia" w:ascii="仿宋_GB2312" w:hAnsi="仿宋_GB2312" w:eastAsia="仿宋_GB2312" w:cs="仿宋_GB2312"/>
          <w:sz w:val="32"/>
          <w:szCs w:val="32"/>
        </w:rPr>
      </w:pPr>
      <w:r>
        <w:rPr>
          <w:rFonts w:ascii="仿宋_GB2312" w:hAnsi="仿宋_GB2312" w:eastAsia="仿宋_GB2312" w:cs="仿宋_GB2312"/>
          <w:sz w:val="32"/>
          <w:szCs w:val="32"/>
        </w:rPr>
        <w:t>3.承诺书</w:t>
      </w:r>
      <w:r>
        <w:rPr>
          <w:rFonts w:hint="eastAsia" w:ascii="仿宋_GB2312" w:hAnsi="仿宋_GB2312" w:eastAsia="仿宋_GB2312" w:cs="仿宋_GB2312"/>
          <w:sz w:val="32"/>
          <w:szCs w:val="32"/>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pacing w:val="6"/>
          <w:sz w:val="32"/>
          <w:szCs w:val="32"/>
        </w:rPr>
      </w:pPr>
      <w:r>
        <w:rPr>
          <w:rFonts w:ascii="仿宋_GB2312" w:hAnsi="仿宋_GB2312" w:eastAsia="仿宋_GB2312" w:cs="仿宋_GB2312"/>
          <w:sz w:val="32"/>
          <w:szCs w:val="32"/>
        </w:rPr>
        <w:t>4.银行账户信息</w:t>
      </w:r>
      <w:r>
        <w:rPr>
          <w:rFonts w:hint="eastAsia" w:ascii="仿宋_GB2312" w:hAnsi="仿宋_GB2312" w:eastAsia="仿宋_GB2312" w:cs="仿宋_GB2312"/>
          <w:sz w:val="32"/>
          <w:szCs w:val="32"/>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spacing w:after="0"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销售额证明，提供2024年全年（1-12月）及2023年全年（1-12月）销售额数据（E204-1）表，加盖公章，彩色扫描上传。</w:t>
      </w:r>
    </w:p>
    <w:p>
      <w:pPr>
        <w:spacing w:after="0" w:line="600" w:lineRule="exact"/>
        <w:ind w:firstLine="640" w:firstLineChars="200"/>
        <w:outlineLvl w:val="2"/>
        <w:rPr>
          <w:rFonts w:hint="eastAsia"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：经开区营商环境建设局对申报主体提交的材料进行完整性审查，材料不齐全或不符合要求的，告知申报主体补齐补正。</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商务金融局</w:t>
      </w:r>
      <w:r>
        <w:rPr>
          <w:rFonts w:hint="eastAsia" w:ascii="仿宋_GB2312" w:hAnsi="仿宋_GB2312" w:eastAsia="仿宋_GB2312" w:cs="仿宋_GB2312"/>
          <w:color w:val="000000"/>
          <w:kern w:val="2"/>
          <w:sz w:val="32"/>
          <w:szCs w:val="32"/>
        </w:rPr>
        <w:t>对申请材料进行实质审核。</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：经开区商务金融局对审核通过的申报主体拟定兑现扶持奖励金额。</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：经开区商务金融局通过政策兑现综合服务平台对审核通过的申报主体进行公示。</w:t>
      </w:r>
    </w:p>
    <w:p>
      <w:pPr>
        <w:pStyle w:val="7"/>
        <w:widowControl/>
        <w:shd w:val="clear" w:color="auto" w:fill="FFFFFF"/>
        <w:spacing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：经公示无异议的，经开区综合服务保障中心完成资金拨付工作。</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七、主责部门</w:t>
      </w:r>
    </w:p>
    <w:p>
      <w:pPr>
        <w:spacing w:after="0" w:line="600" w:lineRule="exact"/>
        <w:ind w:firstLine="640" w:firstLineChars="200"/>
        <w:rPr>
          <w:rFonts w:hint="eastAsia" w:ascii="仿宋_GB2312" w:hAnsi="仿宋_GB2312" w:eastAsia="仿宋_GB2312" w:cs="仿宋_GB2312"/>
          <w:b/>
          <w:bCs/>
          <w:sz w:val="32"/>
          <w:szCs w:val="32"/>
        </w:rPr>
      </w:pPr>
      <w:r>
        <w:rPr>
          <w:rFonts w:hint="eastAsia" w:eastAsia="仿宋_GB2312" w:cs="仿宋_GB2312"/>
          <w:sz w:val="32"/>
          <w:szCs w:val="32"/>
        </w:rPr>
        <w:t>经开区商务金融局</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八、受理窗口</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北京经济技术开发区万源街4号政务服务大厅“政策申报”窗口。</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九、申报时间</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2024年3月12日至2024年3月26日</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十、联系人及联系方式</w:t>
      </w:r>
    </w:p>
    <w:p>
      <w:pPr>
        <w:spacing w:after="0" w:line="600" w:lineRule="exact"/>
        <w:ind w:firstLine="640" w:firstLineChars="200"/>
        <w:rPr>
          <w:rFonts w:eastAsia="仿宋_GB2312"/>
          <w:sz w:val="32"/>
          <w:szCs w:val="32"/>
        </w:rPr>
      </w:pPr>
      <w:r>
        <w:rPr>
          <w:rFonts w:hint="eastAsia" w:eastAsia="仿宋_GB2312"/>
          <w:sz w:val="32"/>
          <w:szCs w:val="32"/>
        </w:rPr>
        <w:t>政策咨询：</w:t>
      </w:r>
    </w:p>
    <w:p>
      <w:pPr>
        <w:spacing w:after="0" w:line="600" w:lineRule="exact"/>
        <w:ind w:firstLine="640" w:firstLineChars="200"/>
        <w:rPr>
          <w:rFonts w:eastAsia="仿宋_GB2312"/>
          <w:sz w:val="32"/>
          <w:szCs w:val="32"/>
        </w:rPr>
      </w:pPr>
      <w:r>
        <w:rPr>
          <w:rFonts w:hint="eastAsia" w:ascii="仿宋_GB2312" w:hAnsi="仿宋_GB2312" w:eastAsia="仿宋_GB2312" w:cs="仿宋_GB2312"/>
          <w:sz w:val="32"/>
          <w:szCs w:val="32"/>
        </w:rPr>
        <w:t>经开区政务服务大厅“政策申报”窗口，</w:t>
      </w:r>
      <w:r>
        <w:rPr>
          <w:rFonts w:hint="eastAsia" w:eastAsia="仿宋_GB2312"/>
          <w:sz w:val="32"/>
          <w:szCs w:val="32"/>
        </w:rPr>
        <w:t>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spacing w:after="0" w:line="600" w:lineRule="exact"/>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区商务金融局，联系电话：010-67881472，工作日上午9:00—12:00，下午2:00—6:00。</w:t>
      </w:r>
    </w:p>
    <w:p>
      <w:pPr>
        <w:spacing w:after="0" w:line="600" w:lineRule="exact"/>
        <w:ind w:firstLine="640" w:firstLineChars="200"/>
        <w:rPr>
          <w:rFonts w:eastAsia="仿宋_GB2312"/>
          <w:sz w:val="32"/>
          <w:szCs w:val="32"/>
        </w:rPr>
      </w:pPr>
      <w:r>
        <w:rPr>
          <w:rFonts w:hint="eastAsia" w:eastAsia="仿宋_GB2312"/>
          <w:sz w:val="32"/>
          <w:szCs w:val="32"/>
        </w:rPr>
        <w:t>技术支持：</w:t>
      </w:r>
    </w:p>
    <w:p>
      <w:pPr>
        <w:spacing w:after="0" w:line="600" w:lineRule="exact"/>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spacing w:after="0" w:line="600" w:lineRule="exact"/>
        <w:ind w:firstLine="640" w:firstLineChars="200"/>
        <w:outlineLvl w:val="0"/>
        <w:rPr>
          <w:rFonts w:hint="eastAsia" w:ascii="仿宋_GB2312" w:hAnsi="仿宋_GB2312" w:eastAsia="仿宋_GB2312" w:cs="仿宋_GB2312"/>
          <w:sz w:val="32"/>
          <w:szCs w:val="32"/>
        </w:rPr>
      </w:pPr>
      <w:r>
        <w:rPr>
          <w:rFonts w:hint="eastAsia" w:ascii="黑体" w:hAnsi="黑体" w:eastAsia="黑体" w:cs="黑体"/>
          <w:sz w:val="32"/>
          <w:szCs w:val="32"/>
        </w:rPr>
        <w:t>十一、收费标准</w:t>
      </w:r>
    </w:p>
    <w:p>
      <w:pPr>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spacing w:after="0"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十二、特别说明</w:t>
      </w:r>
    </w:p>
    <w:p>
      <w:pPr>
        <w:spacing w:after="0"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after="0" w:line="600" w:lineRule="exact"/>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CDF3D"/>
    <w:multiLevelType w:val="singleLevel"/>
    <w:tmpl w:val="7DECDF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0EF1"/>
    <w:rsid w:val="0001192B"/>
    <w:rsid w:val="00012645"/>
    <w:rsid w:val="00055FED"/>
    <w:rsid w:val="00060052"/>
    <w:rsid w:val="00062C5F"/>
    <w:rsid w:val="0007024D"/>
    <w:rsid w:val="000976BE"/>
    <w:rsid w:val="000D7453"/>
    <w:rsid w:val="000F62F2"/>
    <w:rsid w:val="0011112F"/>
    <w:rsid w:val="001145E7"/>
    <w:rsid w:val="00161422"/>
    <w:rsid w:val="00161CCE"/>
    <w:rsid w:val="001A5FD0"/>
    <w:rsid w:val="001D4E3C"/>
    <w:rsid w:val="00214125"/>
    <w:rsid w:val="002838D9"/>
    <w:rsid w:val="002D7B19"/>
    <w:rsid w:val="00360EF1"/>
    <w:rsid w:val="00395968"/>
    <w:rsid w:val="003C3633"/>
    <w:rsid w:val="003F207A"/>
    <w:rsid w:val="004006CA"/>
    <w:rsid w:val="00457B4D"/>
    <w:rsid w:val="0047354B"/>
    <w:rsid w:val="004A47CF"/>
    <w:rsid w:val="004C4307"/>
    <w:rsid w:val="004E491A"/>
    <w:rsid w:val="005229DA"/>
    <w:rsid w:val="00671119"/>
    <w:rsid w:val="006A1513"/>
    <w:rsid w:val="006D0140"/>
    <w:rsid w:val="00710378"/>
    <w:rsid w:val="00732B93"/>
    <w:rsid w:val="007611B0"/>
    <w:rsid w:val="008231EA"/>
    <w:rsid w:val="00844BDB"/>
    <w:rsid w:val="00900A14"/>
    <w:rsid w:val="00923A77"/>
    <w:rsid w:val="0098077A"/>
    <w:rsid w:val="00A3406B"/>
    <w:rsid w:val="00A63A82"/>
    <w:rsid w:val="00B74D80"/>
    <w:rsid w:val="00C122AB"/>
    <w:rsid w:val="00C36A0F"/>
    <w:rsid w:val="00C667D6"/>
    <w:rsid w:val="00D460B2"/>
    <w:rsid w:val="00D668C9"/>
    <w:rsid w:val="00D76185"/>
    <w:rsid w:val="00D85A9F"/>
    <w:rsid w:val="00D97B21"/>
    <w:rsid w:val="00EA199B"/>
    <w:rsid w:val="00F5417E"/>
    <w:rsid w:val="00F80E00"/>
    <w:rsid w:val="00F812DC"/>
    <w:rsid w:val="00F930AF"/>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3506D"/>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7FDA91"/>
    <w:rsid w:val="0EAB08F2"/>
    <w:rsid w:val="0EAD26D4"/>
    <w:rsid w:val="0ED00FB9"/>
    <w:rsid w:val="0EE86C1D"/>
    <w:rsid w:val="0F131376"/>
    <w:rsid w:val="0F193762"/>
    <w:rsid w:val="0F1D02E7"/>
    <w:rsid w:val="0F221A0E"/>
    <w:rsid w:val="0F8C27FB"/>
    <w:rsid w:val="0F934289"/>
    <w:rsid w:val="0FA61C25"/>
    <w:rsid w:val="0FF757D0"/>
    <w:rsid w:val="101D1DF8"/>
    <w:rsid w:val="103A6271"/>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57F17"/>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4E99B2"/>
    <w:rsid w:val="1ED331FC"/>
    <w:rsid w:val="1ED6487D"/>
    <w:rsid w:val="1EFD05E9"/>
    <w:rsid w:val="1EFE4506"/>
    <w:rsid w:val="1F0F5065"/>
    <w:rsid w:val="1F1A6E4C"/>
    <w:rsid w:val="1F2DAD12"/>
    <w:rsid w:val="1F719884"/>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05B3B"/>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9FF53FA"/>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6F290E"/>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9006A23"/>
    <w:rsid w:val="492A682B"/>
    <w:rsid w:val="49596A53"/>
    <w:rsid w:val="49646F19"/>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DFD43EF"/>
    <w:rsid w:val="4E2B5D5D"/>
    <w:rsid w:val="4E8B3508"/>
    <w:rsid w:val="4ED13285"/>
    <w:rsid w:val="4F1A6236"/>
    <w:rsid w:val="4F6A651C"/>
    <w:rsid w:val="4F6FD2ED"/>
    <w:rsid w:val="4F721548"/>
    <w:rsid w:val="4FA73771"/>
    <w:rsid w:val="4FD4377C"/>
    <w:rsid w:val="4FFF4C5B"/>
    <w:rsid w:val="4FFFD97C"/>
    <w:rsid w:val="50086DF5"/>
    <w:rsid w:val="508E5ABD"/>
    <w:rsid w:val="50A336F5"/>
    <w:rsid w:val="50BD79A6"/>
    <w:rsid w:val="510D1202"/>
    <w:rsid w:val="515D1CF8"/>
    <w:rsid w:val="515D60CA"/>
    <w:rsid w:val="51714084"/>
    <w:rsid w:val="51AA50CA"/>
    <w:rsid w:val="51D12D37"/>
    <w:rsid w:val="51E46BB8"/>
    <w:rsid w:val="521F04B3"/>
    <w:rsid w:val="52453D47"/>
    <w:rsid w:val="528E639D"/>
    <w:rsid w:val="52DE0B2A"/>
    <w:rsid w:val="52E46423"/>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7B86F8"/>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867020"/>
    <w:rsid w:val="5DB61076"/>
    <w:rsid w:val="5DB96EBE"/>
    <w:rsid w:val="5DFA426F"/>
    <w:rsid w:val="5E60221A"/>
    <w:rsid w:val="5E7FEF93"/>
    <w:rsid w:val="5E852B06"/>
    <w:rsid w:val="5EBB0773"/>
    <w:rsid w:val="5EC9424F"/>
    <w:rsid w:val="5F3F6EB7"/>
    <w:rsid w:val="5F504489"/>
    <w:rsid w:val="5F595787"/>
    <w:rsid w:val="5F8D1C46"/>
    <w:rsid w:val="5FBD03D0"/>
    <w:rsid w:val="5FE50B69"/>
    <w:rsid w:val="5FFB75B2"/>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C6F777"/>
    <w:rsid w:val="67DEDF06"/>
    <w:rsid w:val="67E5E045"/>
    <w:rsid w:val="67F973CE"/>
    <w:rsid w:val="6808097F"/>
    <w:rsid w:val="686076FC"/>
    <w:rsid w:val="68E479A1"/>
    <w:rsid w:val="6A7C3B1B"/>
    <w:rsid w:val="6A9153AF"/>
    <w:rsid w:val="6A9A5399"/>
    <w:rsid w:val="6ADF2774"/>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5FEBBF"/>
    <w:rsid w:val="6E893371"/>
    <w:rsid w:val="6E8C71B7"/>
    <w:rsid w:val="6E9E3B1A"/>
    <w:rsid w:val="6EA731B5"/>
    <w:rsid w:val="6EB6086C"/>
    <w:rsid w:val="6EC648DD"/>
    <w:rsid w:val="6EEF0E38"/>
    <w:rsid w:val="6F0C63B7"/>
    <w:rsid w:val="6F345206"/>
    <w:rsid w:val="6F941165"/>
    <w:rsid w:val="6F9D2D94"/>
    <w:rsid w:val="6FBC2D32"/>
    <w:rsid w:val="6FFDE897"/>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77A24"/>
    <w:rsid w:val="770B2702"/>
    <w:rsid w:val="7718563E"/>
    <w:rsid w:val="776A3F9A"/>
    <w:rsid w:val="77901978"/>
    <w:rsid w:val="77915027"/>
    <w:rsid w:val="779D4F4D"/>
    <w:rsid w:val="77CF1648"/>
    <w:rsid w:val="77DF7CC0"/>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ABEDBD2"/>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5FE6A1"/>
    <w:rsid w:val="7E6B7B24"/>
    <w:rsid w:val="7E757D8F"/>
    <w:rsid w:val="7E782A8A"/>
    <w:rsid w:val="7EB71892"/>
    <w:rsid w:val="7EEEA71F"/>
    <w:rsid w:val="7EFFFA7B"/>
    <w:rsid w:val="7FBB09E5"/>
    <w:rsid w:val="7FC14E2C"/>
    <w:rsid w:val="7FDEECBF"/>
    <w:rsid w:val="7FDF7032"/>
    <w:rsid w:val="7FF41528"/>
    <w:rsid w:val="7FFF8235"/>
    <w:rsid w:val="7FFF9C45"/>
    <w:rsid w:val="7FFFA700"/>
    <w:rsid w:val="9F6F6015"/>
    <w:rsid w:val="9F7BDE0B"/>
    <w:rsid w:val="9FEC689E"/>
    <w:rsid w:val="BACDA7D0"/>
    <w:rsid w:val="BDFB6234"/>
    <w:rsid w:val="BFBF5DC4"/>
    <w:rsid w:val="C7DB93C8"/>
    <w:rsid w:val="CFBF8BF6"/>
    <w:rsid w:val="D57D683C"/>
    <w:rsid w:val="DB9F4466"/>
    <w:rsid w:val="DD7E7DC7"/>
    <w:rsid w:val="DEF5E07B"/>
    <w:rsid w:val="DFFE1699"/>
    <w:rsid w:val="E67F24D6"/>
    <w:rsid w:val="E79E6ED5"/>
    <w:rsid w:val="ED5F5855"/>
    <w:rsid w:val="EDFE3A83"/>
    <w:rsid w:val="EFEEB9E2"/>
    <w:rsid w:val="EFF4EFC1"/>
    <w:rsid w:val="F1FF1060"/>
    <w:rsid w:val="F237917F"/>
    <w:rsid w:val="F3D3F512"/>
    <w:rsid w:val="F5DBA8FA"/>
    <w:rsid w:val="F5FCB03C"/>
    <w:rsid w:val="F5FFAFBF"/>
    <w:rsid w:val="FD3D88FC"/>
    <w:rsid w:val="FD5F8DA3"/>
    <w:rsid w:val="FD9FE185"/>
    <w:rsid w:val="FDDF4020"/>
    <w:rsid w:val="FF6467DE"/>
    <w:rsid w:val="FFBD9970"/>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修订1"/>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character" w:customStyle="1" w:styleId="15">
    <w:name w:val="批注框文本 字符"/>
    <w:basedOn w:val="9"/>
    <w:link w:val="4"/>
    <w:qFormat/>
    <w:uiPriority w:val="0"/>
    <w:rPr>
      <w:kern w:val="2"/>
      <w:sz w:val="18"/>
      <w:szCs w:val="18"/>
    </w:rPr>
  </w:style>
  <w:style w:type="paragraph" w:customStyle="1" w:styleId="16">
    <w:name w:val="Revision"/>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235</Words>
  <Characters>1341</Characters>
  <Lines>11</Lines>
  <Paragraphs>3</Paragraphs>
  <TotalTime>31</TotalTime>
  <ScaleCrop>false</ScaleCrop>
  <LinksUpToDate>false</LinksUpToDate>
  <CharactersWithSpaces>1573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2019-08-19T06:54:00Z</dcterms:created>
  <dc:creator>zkk</dc:creator>
  <cp:lastModifiedBy>BDA</cp:lastModifiedBy>
  <cp:lastPrinted>2025-03-06T16:17:30Z</cp:lastPrinted>
  <dcterms:modified xsi:type="dcterms:W3CDTF">2025-03-06T16:17:46Z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D0C6CB4D3DD449CF9F01DB31742842FE</vt:lpwstr>
  </property>
</Properties>
</file>