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9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北京市加快推动“人工智能+医药健康”创新发展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行动计划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（2025</w:t>
      </w:r>
      <w:r>
        <w:rPr>
          <w:rFonts w:ascii="方正小标宋_GBK" w:hAnsi="等线" w:eastAsia="方正小标宋_GBK"/>
          <w:sz w:val="44"/>
          <w:szCs w:val="44"/>
        </w:rPr>
        <w:t>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2027年）（征求意见稿）》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的起草说明</w:t>
      </w:r>
    </w:p>
    <w:p w14:paraId="55A70995">
      <w:pPr>
        <w:pStyle w:val="2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 w14:paraId="0BD6647A">
      <w:pPr>
        <w:snapToGrid w:val="0"/>
        <w:spacing w:line="560" w:lineRule="exact"/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Toc1100951026_WPSOffice_Level1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人工智能是引领新一轮科技革命和产业变革的战略性技术，在医药领域的应用日益广泛深入，为全球医药健康产业带来了前所未有的变革机遇。为深入贯彻落实国家关于“人工智能+”的战略部署，进一步落实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《北京市加快医药健康协同创新行动计划（2024-2026年）》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，充分发挥北京在人工智能、医药健康领域的创新优势，抢抓全球人工智能技术突破与生命科学发展交汇的战略机遇，加快培育新质生产力，将北京打造成为全球“人工智能+医药健康”创新发展的标杆城市，编制《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北京市加快推动“人工智能+医药健康”创新发展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行动计划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（2025-2027年）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》（以下简称《行动计划》）。</w:t>
      </w:r>
    </w:p>
    <w:p w14:paraId="2C814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一、编制</w:t>
      </w:r>
      <w:r>
        <w:rPr>
          <w:rFonts w:hint="eastAsia" w:ascii="黑体" w:hAnsi="黑体" w:eastAsia="黑体" w:cs="黑体"/>
          <w:sz w:val="36"/>
          <w:szCs w:val="36"/>
        </w:rPr>
        <w:t>背景</w:t>
      </w:r>
      <w:bookmarkEnd w:id="0"/>
    </w:p>
    <w:p w14:paraId="58B7A5A8">
      <w:pPr>
        <w:snapToGrid w:val="0"/>
        <w:spacing w:line="560" w:lineRule="exact"/>
        <w:ind w:firstLine="720" w:firstLineChars="200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2024年12月11日至12日，中央经济工作会议提出“开展‘人工智能+’行动，培育未来产业”的工作部署。</w:t>
      </w:r>
      <w:r>
        <w:rPr>
          <w:rFonts w:hint="eastAsia" w:ascii="仿宋_GB2312" w:hAnsi="仿宋_GB2312" w:eastAsia="仿宋_GB2312" w:cs="仿宋_GB2312"/>
          <w:sz w:val="36"/>
          <w:szCs w:val="36"/>
        </w:rPr>
        <w:t>当前，以人工智能、大数据为代表的新一代信息技术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与医药健康</w:t>
      </w:r>
      <w:r>
        <w:rPr>
          <w:rFonts w:hint="eastAsia" w:ascii="仿宋_GB2312" w:hAnsi="仿宋_GB2312" w:eastAsia="仿宋_GB2312" w:cs="仿宋_GB2312"/>
          <w:sz w:val="36"/>
          <w:szCs w:val="36"/>
        </w:rPr>
        <w:t>领域交叉融合，正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sz w:val="36"/>
          <w:szCs w:val="36"/>
        </w:rPr>
        <w:t>推动全球医学基础研究、临床应用研究以及药物器械研发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进程。北京创新链条完整、医疗资源集中、数据多元丰富，为“人工智能+医药健康”创新实践提供了坚实基础。在全球竞争背景下，北京需</w:t>
      </w:r>
      <w:r>
        <w:rPr>
          <w:rFonts w:hint="eastAsia" w:ascii="仿宋_GB2312" w:hAnsi="宋体" w:eastAsia="仿宋_GB2312" w:cs="仿宋_GB2312"/>
          <w:kern w:val="2"/>
          <w:sz w:val="36"/>
          <w:szCs w:val="36"/>
          <w:highlight w:val="none"/>
          <w:lang w:val="en-US" w:eastAsia="zh-CN" w:bidi="ar"/>
        </w:rPr>
        <w:t>抢抓发展机遇，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通过战略布局、政策引导等措施，</w:t>
      </w:r>
      <w:r>
        <w:rPr>
          <w:rFonts w:hint="eastAsia" w:ascii="仿宋_GB2312" w:eastAsia="仿宋_GB2312" w:cs="仿宋_GB2312"/>
          <w:color w:val="000000"/>
          <w:spacing w:val="0"/>
          <w:sz w:val="36"/>
          <w:szCs w:val="36"/>
          <w:lang w:val="en-US" w:eastAsia="zh-CN" w:bidi="ar-SA"/>
        </w:rPr>
        <w:t>激发人工智能+医药健康创新发展潜能，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加速该领域创新突破，满足人民群众健康需求，</w:t>
      </w:r>
      <w:r>
        <w:rPr>
          <w:rFonts w:hint="eastAsia" w:ascii="仿宋_GB2312" w:eastAsia="仿宋_GB2312" w:cs="仿宋_GB2312"/>
          <w:color w:val="000000"/>
          <w:spacing w:val="0"/>
          <w:sz w:val="36"/>
          <w:szCs w:val="36"/>
          <w:lang w:val="en-US" w:eastAsia="zh-CN" w:bidi="ar-SA"/>
        </w:rPr>
        <w:t>推动医药健康产业高质量发展</w:t>
      </w:r>
      <w:r>
        <w:rPr>
          <w:rFonts w:hint="eastAsia" w:ascii="仿宋_GB2312" w:eastAsia="仿宋_GB2312" w:cs="仿宋_GB2312"/>
          <w:color w:val="000000"/>
          <w:sz w:val="36"/>
          <w:szCs w:val="36"/>
          <w:lang w:bidi="ar-SA"/>
        </w:rPr>
        <w:t>。</w:t>
      </w:r>
    </w:p>
    <w:p w14:paraId="449702DB">
      <w:pPr>
        <w:widowControl w:val="0"/>
        <w:numPr>
          <w:ilvl w:val="0"/>
          <w:numId w:val="1"/>
        </w:numPr>
        <w:spacing w:line="560" w:lineRule="exact"/>
        <w:ind w:firstLine="720" w:firstLineChars="200"/>
        <w:jc w:val="both"/>
        <w:rPr>
          <w:rFonts w:hint="eastAsia" w:ascii="黑体" w:hAnsi="黑体" w:eastAsia="黑体" w:cs="黑体"/>
          <w:kern w:val="2"/>
          <w:sz w:val="36"/>
          <w:szCs w:val="36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6"/>
          <w:szCs w:val="36"/>
          <w:highlight w:val="none"/>
          <w:lang w:val="en-US" w:eastAsia="zh-CN" w:bidi="ar"/>
        </w:rPr>
        <w:t>编制思路</w:t>
      </w:r>
    </w:p>
    <w:p w14:paraId="683329D1">
      <w:pPr>
        <w:snapToGrid w:val="0"/>
        <w:spacing w:line="560" w:lineRule="exact"/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以应用牵引为导向，明确了“坚持创新驱动，强化技术策源；突出场景牵引，深化落地应用；坚持开放共享，释放协同效能；创新治理机制，营造良好生态”四项基本原则，提出了前沿技术突破、数据底座构筑、支撑平台建设、场景应用拓展和创新生态培育等五个方面的重点任务。计划到2027年，北京将初步构建“人工智能+医药健康”创新和应用并举的产业生态体系，形成人工智能技术在医药健康研发、生产、应用等全链条范式创新路径，产出一批新技术、新工具、新模式，不断深化应用场景，构建技术自主可控、产业协同创新、风险有效治理的创新生态体系，建成具有全球影响力的人工智能+医药健康创新策源地、应用高地和产业生态集群。</w:t>
      </w:r>
    </w:p>
    <w:p w14:paraId="3BE7C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6"/>
          <w:szCs w:val="36"/>
        </w:rPr>
        <w:t>主要内容</w:t>
      </w:r>
    </w:p>
    <w:p w14:paraId="67958032">
      <w:pPr>
        <w:snapToGrid w:val="0"/>
        <w:spacing w:line="560" w:lineRule="exact"/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1" w:name="_Toc1590620335_WPSOffice_Level1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《行动计划》包括指导思想、基本原则、发展目标、重点任务、保障措施五部分，</w:t>
      </w:r>
      <w:bookmarkEnd w:id="1"/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部署重点任务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条，具体如下：</w:t>
      </w:r>
    </w:p>
    <w:p w14:paraId="67731EA7">
      <w:pPr>
        <w:numPr>
          <w:ilvl w:val="0"/>
          <w:numId w:val="0"/>
        </w:numPr>
        <w:snapToGrid w:val="0"/>
        <w:spacing w:line="560" w:lineRule="exact"/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（一）前沿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技术方面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，探索人工智能驱动的生命科学研究新范式，推动医药健康大模型研发。</w:t>
      </w:r>
    </w:p>
    <w:p w14:paraId="1620B264">
      <w:pPr>
        <w:numPr>
          <w:ilvl w:val="0"/>
          <w:numId w:val="0"/>
        </w:numPr>
        <w:snapToGrid w:val="0"/>
        <w:spacing w:line="560" w:lineRule="exact"/>
        <w:ind w:firstLine="720" w:firstLineChars="200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（二）数据底座方面，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推动高质量数据资源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建设，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创新数据应用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流通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机制，促进数据汇聚与流通，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 w:bidi="ar-SA"/>
        </w:rPr>
        <w:t>夯实研发应用基础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。</w:t>
      </w:r>
    </w:p>
    <w:p w14:paraId="4EA373F9">
      <w:pPr>
        <w:snapToGrid w:val="0"/>
        <w:spacing w:line="560" w:lineRule="exact"/>
        <w:ind w:firstLine="720" w:firstLineChars="200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）平台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建设方面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，建设智慧生物样本平台、药物研发技术服务平台、智能器械质量评价平台以及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创新孵化加速服务平台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，加速产品研发转化。</w:t>
      </w:r>
    </w:p>
    <w:p w14:paraId="4AE450A6">
      <w:pPr>
        <w:snapToGrid w:val="0"/>
        <w:spacing w:line="560" w:lineRule="exact"/>
        <w:ind w:firstLine="720" w:firstLineChars="200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场景应用方面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拓展人工智能在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医药产业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中医应用、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医疗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服务、康养服务、医学科教、医疗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健康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保险以及公共卫生等多个领域的应用，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加速产业创新变革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。</w:t>
      </w:r>
    </w:p>
    <w:p w14:paraId="6755AD67">
      <w:pPr>
        <w:snapToGrid w:val="0"/>
        <w:spacing w:line="560" w:lineRule="exact"/>
        <w:ind w:firstLine="720" w:firstLineChars="200"/>
        <w:jc w:val="both"/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生态培育方面，加大创新主体引育，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推动监管科学创新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，开展创新交流合作，进一步培育创新发展生态，提升开放发展水平。</w:t>
      </w:r>
    </w:p>
    <w:p w14:paraId="60545D03">
      <w:pPr>
        <w:snapToGrid w:val="0"/>
        <w:spacing w:line="560" w:lineRule="exact"/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同时，《行动计划》从强化组织领导与统筹协调、强化政策支持与资金引导、强化交叉人才引育与培养三个方面提出具体保障举措。</w:t>
      </w:r>
    </w:p>
    <w:p w14:paraId="142B057D">
      <w:pPr>
        <w:adjustRightInd w:val="0"/>
        <w:snapToGrid w:val="0"/>
        <w:spacing w:line="560" w:lineRule="exact"/>
        <w:ind w:firstLine="720" w:firstLineChars="200"/>
        <w:jc w:val="both"/>
        <w:outlineLvl w:val="1"/>
        <w:rPr>
          <w:rFonts w:hint="eastAsia" w:ascii="仿宋_GB2312" w:eastAsia="仿宋_GB2312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410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C535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7C535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C901F"/>
    <w:multiLevelType w:val="singleLevel"/>
    <w:tmpl w:val="972C90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WY1NDBiODljZmRhNGVlYjRiNjAwYzQwMmFhYzgifQ=="/>
  </w:docVars>
  <w:rsids>
    <w:rsidRoot w:val="00000000"/>
    <w:rsid w:val="00D91A6F"/>
    <w:rsid w:val="0482288A"/>
    <w:rsid w:val="048C64BC"/>
    <w:rsid w:val="06512C8C"/>
    <w:rsid w:val="07047ECE"/>
    <w:rsid w:val="0B611145"/>
    <w:rsid w:val="0BB67748"/>
    <w:rsid w:val="0EE859DF"/>
    <w:rsid w:val="0F1B5AAD"/>
    <w:rsid w:val="10C67E36"/>
    <w:rsid w:val="112C51A1"/>
    <w:rsid w:val="130C25E4"/>
    <w:rsid w:val="13272F7A"/>
    <w:rsid w:val="14FD2D87"/>
    <w:rsid w:val="18297794"/>
    <w:rsid w:val="1C4F5E79"/>
    <w:rsid w:val="1D754DB2"/>
    <w:rsid w:val="1EA96F39"/>
    <w:rsid w:val="20F37C9C"/>
    <w:rsid w:val="22EF5136"/>
    <w:rsid w:val="24382941"/>
    <w:rsid w:val="2FD47B8E"/>
    <w:rsid w:val="35E2382D"/>
    <w:rsid w:val="36DF7544"/>
    <w:rsid w:val="382235C6"/>
    <w:rsid w:val="3C9A04B2"/>
    <w:rsid w:val="41A75102"/>
    <w:rsid w:val="46852FA4"/>
    <w:rsid w:val="5605622C"/>
    <w:rsid w:val="57F15AC4"/>
    <w:rsid w:val="5B6231FB"/>
    <w:rsid w:val="5DE33377"/>
    <w:rsid w:val="60675D31"/>
    <w:rsid w:val="626D15F8"/>
    <w:rsid w:val="62FE04A2"/>
    <w:rsid w:val="64F64EC3"/>
    <w:rsid w:val="655578D8"/>
    <w:rsid w:val="6A217C48"/>
    <w:rsid w:val="6EF71D63"/>
    <w:rsid w:val="780E2ADE"/>
    <w:rsid w:val="7ACF0C4A"/>
    <w:rsid w:val="7BBD0AA3"/>
    <w:rsid w:val="7D2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1411</Characters>
  <Lines>0</Lines>
  <Paragraphs>0</Paragraphs>
  <TotalTime>1</TotalTime>
  <ScaleCrop>false</ScaleCrop>
  <LinksUpToDate>false</LinksUpToDate>
  <CharactersWithSpaces>1411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2024-06-17T09:02:00Z</dcterms:created>
  <dc:creator>pc</dc:creator>
  <cp:lastModifiedBy>user</cp:lastModifiedBy>
  <cp:lastPrinted>2025-03-04T04:34:59Z</cp:lastPrinted>
  <dcterms:modified xsi:type="dcterms:W3CDTF">2025-03-04T07:08:44Z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6FDF2507910A4BE596F56FBD1835C130_13</vt:lpwstr>
  </property>
  <property fmtid="{D5CDD505-2E9C-101B-9397-08002B2CF9AE}" pid="4" name="KSOTemplateDocerSaveRecord">
    <vt:lpwstr>eyJoZGlkIjoiZDJiNTFiODE4ZWM3OTdmZGQ1NDQ5ZWJjZTZhMjBiMmMiLCJ1c2VySWQiOiIzOTU4MDc0NjIifQ==</vt:lpwstr>
  </property>
</Properties>
</file>