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60" w:lineRule="exact"/>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附件2</w:t>
      </w:r>
    </w:p>
    <w:p>
      <w:pPr>
        <w:spacing w:after="157" w:afterLines="5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2025年发展供应链金融奖励</w:t>
      </w:r>
    </w:p>
    <w:p>
      <w:pPr>
        <w:spacing w:after="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60" w:lineRule="exact"/>
        <w:rPr>
          <w:rFonts w:hint="eastAsia" w:ascii="仿宋_GB2312" w:hAnsi="仿宋_GB2312" w:eastAsia="仿宋_GB2312" w:cs="仿宋_GB2312"/>
          <w:sz w:val="32"/>
          <w:szCs w:val="32"/>
        </w:rPr>
      </w:pPr>
    </w:p>
    <w:p>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60" w:lineRule="exact"/>
        <w:ind w:firstLine="640"/>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w:t>
      </w:r>
      <w:r>
        <w:rPr>
          <w:rFonts w:hint="eastAsia" w:ascii="仿宋_GB2312" w:hAnsi="仿宋_GB2312" w:eastAsia="仿宋_GB2312" w:cs="仿宋_GB2312"/>
          <w:bCs w:val="0"/>
          <w:kern w:val="2"/>
          <w:sz w:val="32"/>
          <w:szCs w:val="32"/>
          <w:lang w:val="zh-TW" w:eastAsia="zh-TW"/>
        </w:rPr>
        <w:t>2</w:t>
      </w:r>
      <w:bookmarkStart w:id="1" w:name="_GoBack"/>
      <w:bookmarkEnd w:id="1"/>
      <w:r>
        <w:rPr>
          <w:rFonts w:hint="eastAsia" w:ascii="仿宋_GB2312" w:hAnsi="仿宋_GB2312" w:eastAsia="仿宋_GB2312" w:cs="仿宋_GB2312"/>
          <w:bCs w:val="0"/>
          <w:kern w:val="2"/>
          <w:sz w:val="32"/>
          <w:szCs w:val="32"/>
          <w:lang w:val="zh-TW" w:eastAsia="zh-TW"/>
        </w:rPr>
        <w:t>024</w:t>
      </w:r>
      <w:r>
        <w:rPr>
          <w:rFonts w:hint="eastAsia" w:ascii="仿宋_GB2312" w:hAnsi="仿宋_GB2312" w:eastAsia="仿宋_GB2312" w:cs="仿宋_GB2312"/>
          <w:bCs/>
          <w:color w:val="000000"/>
          <w:kern w:val="0"/>
          <w:sz w:val="32"/>
          <w:szCs w:val="32"/>
        </w:rPr>
        <w:t>〕33号）中第三条“</w:t>
      </w:r>
      <w:r>
        <w:rPr>
          <w:rFonts w:hint="eastAsia" w:ascii="仿宋_GB2312" w:hAnsi="仿宋_GB2312" w:eastAsia="仿宋_GB2312" w:cs="仿宋_GB2312"/>
          <w:sz w:val="32"/>
          <w:szCs w:val="32"/>
          <w:lang w:val="zh-TW" w:eastAsia="zh-TW"/>
        </w:rPr>
        <w:t>建立完善供应链金融体系，吸引一批融资租赁、商业保理等多元金融机构在区内展业。针对四大主导、六大未来产业，鼓励多方联动探索整链授信创新模式落地。鼓励金融机构依托产业链生态场景创新业务模式，采取多样化的产品工具和组合，满足链上企业的综合金融需求。鼓励商业保理公司和融资租赁公司</w:t>
      </w:r>
      <w:bookmarkStart w:id="0" w:name="_Hlk185324183"/>
      <w:r>
        <w:rPr>
          <w:rFonts w:hint="eastAsia" w:ascii="仿宋_GB2312" w:hAnsi="仿宋_GB2312" w:eastAsia="仿宋_GB2312" w:cs="仿宋_GB2312"/>
          <w:sz w:val="32"/>
          <w:szCs w:val="32"/>
          <w:lang w:val="zh-TW" w:eastAsia="zh-TW"/>
        </w:rPr>
        <w:t>运用保理融资及融资租赁等方式提升对实体产业的服务能力</w:t>
      </w:r>
      <w:bookmarkEnd w:id="0"/>
      <w:r>
        <w:rPr>
          <w:rFonts w:hint="eastAsia" w:ascii="仿宋_GB2312" w:hAnsi="仿宋_GB2312" w:eastAsia="仿宋_GB2312" w:cs="仿宋_GB2312"/>
          <w:sz w:val="32"/>
          <w:szCs w:val="32"/>
          <w:lang w:val="zh-TW" w:eastAsia="zh-TW"/>
        </w:rPr>
        <w:t>，当年业务合同金额达到</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亿元（含）以上的，按当年为企业提供融资总额的</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zh-TW" w:eastAsia="zh-TW"/>
        </w:rPr>
        <w:t>给予奖励，每户每年奖励最高不超过</w:t>
      </w:r>
      <w:r>
        <w:rPr>
          <w:rFonts w:hint="eastAsia" w:ascii="仿宋_GB2312" w:hAnsi="仿宋_GB2312" w:eastAsia="仿宋_GB2312" w:cs="仿宋_GB2312"/>
          <w:sz w:val="32"/>
          <w:szCs w:val="32"/>
        </w:rPr>
        <w:t>500</w:t>
      </w:r>
      <w:r>
        <w:rPr>
          <w:rFonts w:hint="eastAsia" w:ascii="仿宋_GB2312" w:hAnsi="仿宋_GB2312" w:eastAsia="仿宋_GB2312" w:cs="仿宋_GB2312"/>
          <w:sz w:val="32"/>
          <w:szCs w:val="32"/>
          <w:lang w:val="zh-TW" w:eastAsia="zh-TW"/>
        </w:rPr>
        <w:t>万元。</w:t>
      </w:r>
      <w:r>
        <w:rPr>
          <w:rFonts w:hint="eastAsia" w:ascii="仿宋_GB2312" w:hAnsi="仿宋_GB2312" w:eastAsia="仿宋_GB2312" w:cs="仿宋_GB2312"/>
          <w:bCs/>
          <w:color w:val="000000"/>
          <w:kern w:val="0"/>
          <w:sz w:val="32"/>
          <w:szCs w:val="32"/>
        </w:rPr>
        <w:t>”</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lang w:val="zh-TW" w:eastAsia="zh-TW"/>
        </w:rPr>
        <w:t>2025年发展供</w:t>
      </w:r>
      <w:r>
        <w:rPr>
          <w:rFonts w:hint="eastAsia" w:eastAsia="仿宋_GB2312" w:cs="仿宋_GB2312"/>
          <w:sz w:val="32"/>
          <w:szCs w:val="32"/>
        </w:rPr>
        <w:t>应链金融奖励</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（一）申报主体在亦庄新城225平方公里范围内注册并实际经营。</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（二）申报主体近三年无重大行政处罚记录和刑事犯罪记录，未列入严重违法失信主体名单的法人和其他组织。</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（三）经国家金融监管部门或北京市地方金融监督管理局批准，在经开区内设立的商业保理公司，</w:t>
      </w:r>
      <w:r>
        <w:rPr>
          <w:rFonts w:hint="eastAsia" w:ascii="仿宋_GB2312" w:hAnsi="仿宋_GB2312" w:eastAsia="仿宋_GB2312" w:cs="仿宋_GB2312"/>
          <w:spacing w:val="6"/>
          <w:sz w:val="32"/>
          <w:szCs w:val="32"/>
        </w:rPr>
        <w:t>为企业提供</w:t>
      </w:r>
      <w:r>
        <w:rPr>
          <w:rFonts w:hint="eastAsia" w:ascii="仿宋_GB2312" w:hAnsi="仿宋_GB2312" w:eastAsia="仿宋_GB2312" w:cs="仿宋_GB2312"/>
          <w:bCs/>
          <w:color w:val="000000"/>
          <w:kern w:val="0"/>
          <w:sz w:val="32"/>
          <w:szCs w:val="32"/>
        </w:rPr>
        <w:t>保理融资</w:t>
      </w:r>
      <w:r>
        <w:rPr>
          <w:rFonts w:hint="eastAsia" w:ascii="仿宋_GB2312" w:hAnsi="仿宋_GB2312" w:eastAsia="仿宋_GB2312" w:cs="仿宋_GB2312"/>
          <w:spacing w:val="6"/>
          <w:sz w:val="32"/>
          <w:szCs w:val="32"/>
        </w:rPr>
        <w:t>业务的，</w:t>
      </w:r>
      <w:r>
        <w:rPr>
          <w:rFonts w:hint="eastAsia" w:ascii="仿宋_GB2312" w:hAnsi="仿宋_GB2312" w:eastAsia="仿宋_GB2312" w:cs="仿宋_GB2312"/>
          <w:sz w:val="32"/>
          <w:szCs w:val="32"/>
        </w:rPr>
        <w:t>申报当年业务合同金额达到1亿元（含）以上的。</w:t>
      </w:r>
    </w:p>
    <w:p>
      <w:pPr>
        <w:spacing w:after="0"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经国家金融监管部门或北京市地方金融监督管理局批准，在经开区内设立的融资租赁公司，为企业提供融资租赁业务，</w:t>
      </w:r>
      <w:r>
        <w:rPr>
          <w:rFonts w:hint="eastAsia" w:ascii="仿宋_GB2312" w:hAnsi="仿宋_GB2312" w:eastAsia="仿宋_GB2312" w:cs="仿宋_GB2312"/>
          <w:sz w:val="32"/>
          <w:szCs w:val="32"/>
        </w:rPr>
        <w:t>申报当年业务合同金额达到1亿元（含）以上的</w:t>
      </w:r>
      <w:r>
        <w:rPr>
          <w:rFonts w:hint="eastAsia" w:ascii="仿宋_GB2312" w:hAnsi="仿宋_GB2312" w:eastAsia="仿宋_GB2312" w:cs="仿宋_GB2312"/>
          <w:spacing w:val="6"/>
          <w:sz w:val="32"/>
          <w:szCs w:val="32"/>
        </w:rPr>
        <w:t>。</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（一）区内商业保理公司或融资租赁公司当年业务合同金额达到1亿元（含）以上的，按当年为企业提供融资总额的0.1%给予奖励。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（二）各申报企业每户每年奖励最高不超过500万元。补贴金额以万元为单位，保留两位小数，不足百元部分舍去。</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1.2025年发展供应链金融奖励申报表，在线填写</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5.国家金融监管部门或北京市地方金融监督管理局颁发的金融许可证，原件彩色扫描上传；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6.开展保理业务的，另需提供保理业务合同，原件彩色扫描上传；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7.保理业务实际交易转账凭证，原件彩色扫描上传；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8.开展融资租赁业务的，另需提供对企业开展的融资租赁业务交易合同，原件彩色扫描上传；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9.融资租赁业务实际交易转账凭证，原件彩色扫描上传；</w:t>
      </w:r>
    </w:p>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年3月7日至202</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年3月21日</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60" w:lineRule="exact"/>
        <w:ind w:firstLine="640" w:firstLineChars="200"/>
        <w:rPr>
          <w:rFonts w:eastAsia="仿宋_GB2312"/>
          <w:sz w:val="32"/>
          <w:szCs w:val="32"/>
        </w:rPr>
      </w:pPr>
      <w:r>
        <w:rPr>
          <w:rFonts w:hint="eastAsia" w:eastAsia="仿宋_GB2312"/>
          <w:sz w:val="32"/>
          <w:szCs w:val="32"/>
        </w:rPr>
        <w:t>政策咨询：</w:t>
      </w:r>
    </w:p>
    <w:p>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区商务金融局，联系人：李镕辰，联系电话：010-87163239，工作日上午9:00—12:00，下午2:00—6:00。</w:t>
      </w:r>
    </w:p>
    <w:p>
      <w:pPr>
        <w:spacing w:after="0" w:line="560" w:lineRule="exact"/>
        <w:ind w:firstLine="640" w:firstLineChars="200"/>
        <w:rPr>
          <w:rFonts w:eastAsia="仿宋_GB2312"/>
          <w:sz w:val="32"/>
          <w:szCs w:val="32"/>
        </w:rPr>
      </w:pPr>
      <w:r>
        <w:rPr>
          <w:rFonts w:hint="eastAsia" w:eastAsia="仿宋_GB2312"/>
          <w:sz w:val="32"/>
          <w:szCs w:val="32"/>
        </w:rPr>
        <w:t>技术支持：</w:t>
      </w:r>
    </w:p>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45E7"/>
    <w:rsid w:val="00131AB5"/>
    <w:rsid w:val="00161422"/>
    <w:rsid w:val="00161CCE"/>
    <w:rsid w:val="00177171"/>
    <w:rsid w:val="001A13DC"/>
    <w:rsid w:val="002838D9"/>
    <w:rsid w:val="00360EF1"/>
    <w:rsid w:val="00395968"/>
    <w:rsid w:val="00457B4D"/>
    <w:rsid w:val="00520A3A"/>
    <w:rsid w:val="006A1513"/>
    <w:rsid w:val="006D0140"/>
    <w:rsid w:val="00710378"/>
    <w:rsid w:val="00844BDB"/>
    <w:rsid w:val="008616C6"/>
    <w:rsid w:val="00900A14"/>
    <w:rsid w:val="00923A77"/>
    <w:rsid w:val="0094155E"/>
    <w:rsid w:val="0098077A"/>
    <w:rsid w:val="00A3406B"/>
    <w:rsid w:val="00B74D80"/>
    <w:rsid w:val="00C122AB"/>
    <w:rsid w:val="00D460B2"/>
    <w:rsid w:val="00D668C9"/>
    <w:rsid w:val="00D76185"/>
    <w:rsid w:val="00D85A9F"/>
    <w:rsid w:val="00EA199B"/>
    <w:rsid w:val="00EA6D52"/>
    <w:rsid w:val="00ED7C78"/>
    <w:rsid w:val="00F46B3F"/>
    <w:rsid w:val="00FC75CE"/>
    <w:rsid w:val="00FD5D2D"/>
    <w:rsid w:val="01540D91"/>
    <w:rsid w:val="01586909"/>
    <w:rsid w:val="015C7ADB"/>
    <w:rsid w:val="01904DED"/>
    <w:rsid w:val="01CB7B50"/>
    <w:rsid w:val="01D948CF"/>
    <w:rsid w:val="020C0B78"/>
    <w:rsid w:val="0225322D"/>
    <w:rsid w:val="02297D4E"/>
    <w:rsid w:val="025430A8"/>
    <w:rsid w:val="026102BC"/>
    <w:rsid w:val="0278373A"/>
    <w:rsid w:val="0290748C"/>
    <w:rsid w:val="03056B13"/>
    <w:rsid w:val="03120CB1"/>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BFED4C"/>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FE9978"/>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DB6BB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DB35A7"/>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DFF0E96"/>
    <w:rsid w:val="3E20508B"/>
    <w:rsid w:val="3ED12338"/>
    <w:rsid w:val="3EE438FE"/>
    <w:rsid w:val="3EF468CE"/>
    <w:rsid w:val="3F087986"/>
    <w:rsid w:val="3F2328C1"/>
    <w:rsid w:val="3F31781F"/>
    <w:rsid w:val="3F346049"/>
    <w:rsid w:val="3F3D4664"/>
    <w:rsid w:val="3F580B78"/>
    <w:rsid w:val="3FBC30E1"/>
    <w:rsid w:val="3FD009E6"/>
    <w:rsid w:val="3FD3067D"/>
    <w:rsid w:val="3FD4707F"/>
    <w:rsid w:val="3FEE738F"/>
    <w:rsid w:val="3FEFAE5B"/>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016F46"/>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EF9860"/>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FF9A4D"/>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821A1"/>
    <w:rsid w:val="644E2961"/>
    <w:rsid w:val="64797172"/>
    <w:rsid w:val="649C056B"/>
    <w:rsid w:val="64AE5736"/>
    <w:rsid w:val="64CE25B3"/>
    <w:rsid w:val="64DB4BB5"/>
    <w:rsid w:val="65155138"/>
    <w:rsid w:val="65342BA2"/>
    <w:rsid w:val="65414C11"/>
    <w:rsid w:val="658A3C2E"/>
    <w:rsid w:val="65BE0B5B"/>
    <w:rsid w:val="65EE1625"/>
    <w:rsid w:val="667B70FF"/>
    <w:rsid w:val="66815ECF"/>
    <w:rsid w:val="668D4153"/>
    <w:rsid w:val="66A82973"/>
    <w:rsid w:val="66CC215D"/>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BEF54F9"/>
    <w:rsid w:val="6C021C08"/>
    <w:rsid w:val="6C0A466E"/>
    <w:rsid w:val="6C1948F8"/>
    <w:rsid w:val="6C4D6808"/>
    <w:rsid w:val="6C725360"/>
    <w:rsid w:val="6C7908D0"/>
    <w:rsid w:val="6C8A0C15"/>
    <w:rsid w:val="6C926DA7"/>
    <w:rsid w:val="6CB16FB4"/>
    <w:rsid w:val="6CE4440B"/>
    <w:rsid w:val="6CF73991"/>
    <w:rsid w:val="6CFC7A54"/>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5745B6"/>
    <w:rsid w:val="79714C66"/>
    <w:rsid w:val="79D31F15"/>
    <w:rsid w:val="79D657CC"/>
    <w:rsid w:val="79E40A04"/>
    <w:rsid w:val="7A151811"/>
    <w:rsid w:val="7B201A3E"/>
    <w:rsid w:val="7B3C52F1"/>
    <w:rsid w:val="7B9D0472"/>
    <w:rsid w:val="7BA046F3"/>
    <w:rsid w:val="7BC37346"/>
    <w:rsid w:val="7BE71A21"/>
    <w:rsid w:val="7BEF48D7"/>
    <w:rsid w:val="7BF87E00"/>
    <w:rsid w:val="7C064DA7"/>
    <w:rsid w:val="7C0A2379"/>
    <w:rsid w:val="7C551636"/>
    <w:rsid w:val="7C5F3CF1"/>
    <w:rsid w:val="7C697AB1"/>
    <w:rsid w:val="7CB460B3"/>
    <w:rsid w:val="7CD445C4"/>
    <w:rsid w:val="7CED17F8"/>
    <w:rsid w:val="7CF17B62"/>
    <w:rsid w:val="7D274421"/>
    <w:rsid w:val="7D3D452B"/>
    <w:rsid w:val="7D7F5D88"/>
    <w:rsid w:val="7D957EE1"/>
    <w:rsid w:val="7DFC4CA2"/>
    <w:rsid w:val="7E137B54"/>
    <w:rsid w:val="7E4E0E62"/>
    <w:rsid w:val="7E503B32"/>
    <w:rsid w:val="7E6B7B24"/>
    <w:rsid w:val="7E757D8F"/>
    <w:rsid w:val="7E782A8A"/>
    <w:rsid w:val="7EFFFA7B"/>
    <w:rsid w:val="7FBF31EB"/>
    <w:rsid w:val="7FC14E2C"/>
    <w:rsid w:val="7FE51DE9"/>
    <w:rsid w:val="7FFB8B28"/>
    <w:rsid w:val="7FFFCBD1"/>
    <w:rsid w:val="89D0CAC5"/>
    <w:rsid w:val="9F6F6015"/>
    <w:rsid w:val="C7DB93C8"/>
    <w:rsid w:val="D61A5545"/>
    <w:rsid w:val="DD7E7DC7"/>
    <w:rsid w:val="DEF5E07B"/>
    <w:rsid w:val="E3CF062E"/>
    <w:rsid w:val="EFEEB9E2"/>
    <w:rsid w:val="F5DBA8FA"/>
    <w:rsid w:val="F72F59B3"/>
    <w:rsid w:val="F7766314"/>
    <w:rsid w:val="FDFF0204"/>
    <w:rsid w:val="FDFF4FCA"/>
    <w:rsid w:val="FF9D1CBC"/>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unhideWhenUsed/>
    <w:qFormat/>
    <w:uiPriority w:val="99"/>
    <w:pPr>
      <w:ind w:left="0" w:leftChars="0" w:firstLine="420"/>
    </w:pPr>
    <w:rPr>
      <w:rFonts w:ascii="仿宋_GB2312" w:hAnsi="Calibri" w:eastAsia="仿宋_GB2312" w:cs="仿宋_GB2312"/>
      <w:sz w:val="32"/>
      <w:szCs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2"/>
    <w:next w:val="2"/>
    <w:link w:val="18"/>
    <w:qFormat/>
    <w:uiPriority w:val="0"/>
    <w:rPr>
      <w:b/>
      <w:bCs/>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 w:type="paragraph" w:customStyle="1" w:styleId="16">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7">
    <w:name w:val="批注文字 字符"/>
    <w:basedOn w:val="11"/>
    <w:link w:val="2"/>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paragraph" w:customStyle="1" w:styleId="19">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1787</Words>
  <Characters>1942</Characters>
  <Lines>14</Lines>
  <Paragraphs>3</Paragraphs>
  <TotalTime>7</TotalTime>
  <ScaleCrop>false</ScaleCrop>
  <LinksUpToDate>false</LinksUpToDate>
  <CharactersWithSpaces>1942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2019-08-19T06:54:00Z</dcterms:created>
  <dc:creator>zkk</dc:creator>
  <cp:lastModifiedBy>BDA</cp:lastModifiedBy>
  <cp:lastPrinted>2020-03-29T03:03:00Z</cp:lastPrinted>
  <dcterms:modified xsi:type="dcterms:W3CDTF">2025-03-05T12:13:12Z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