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560" w:lineRule="exact"/>
        <w:jc w:val="lef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附件9</w:t>
      </w:r>
    </w:p>
    <w:p>
      <w:pPr>
        <w:spacing w:after="157" w:afterLines="50" w:line="560" w:lineRule="exact"/>
        <w:jc w:val="center"/>
        <w:outlineLvl w:val="0"/>
        <w:rPr>
          <w:rFonts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2025年金融分支机构提档升级奖励</w:t>
      </w:r>
    </w:p>
    <w:p>
      <w:pPr>
        <w:spacing w:after="0"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spacing w:after="0" w:line="560" w:lineRule="exact"/>
        <w:rPr>
          <w:rFonts w:hint="eastAsia" w:ascii="仿宋_GB2312" w:hAnsi="仿宋_GB2312" w:eastAsia="仿宋_GB2312" w:cs="仿宋_GB2312"/>
          <w:sz w:val="32"/>
          <w:szCs w:val="32"/>
        </w:rPr>
      </w:pPr>
    </w:p>
    <w:p>
      <w:pPr>
        <w:spacing w:after="0" w:line="56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56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北京经济技术开发区关于加快推动产业金融高质量发展的若干措施》（京技管发[2024]33号）中第九条“支持各类金融机构提档升级，鼓励金融机构新设一二级分支机构，新设区域业务总部、客户服务中心等功能性总部。对新设立的银行一级分行以及证券公司、保险公司一级分支机构，给予400万元一次性开办费支持，新升格的银行二级分行给予200万元一次性开办费支持。”</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560" w:lineRule="exact"/>
        <w:ind w:firstLine="640" w:firstLineChars="200"/>
        <w:rPr>
          <w:rFonts w:eastAsia="仿宋_GB2312" w:cs="仿宋_GB2312"/>
          <w:sz w:val="32"/>
          <w:szCs w:val="32"/>
        </w:rPr>
      </w:pPr>
      <w:r>
        <w:rPr>
          <w:rFonts w:hint="eastAsia" w:ascii="仿宋_GB2312" w:hAnsi="仿宋_GB2312" w:eastAsia="仿宋_GB2312" w:cs="仿宋_GB2312"/>
          <w:bCs/>
          <w:color w:val="000000"/>
          <w:kern w:val="0"/>
          <w:sz w:val="32"/>
          <w:szCs w:val="32"/>
        </w:rPr>
        <w:t>2025年金融分</w:t>
      </w:r>
      <w:r>
        <w:rPr>
          <w:rFonts w:hint="eastAsia" w:eastAsia="仿宋_GB2312" w:cs="仿宋_GB2312"/>
          <w:sz w:val="32"/>
          <w:szCs w:val="32"/>
        </w:rPr>
        <w:t>支机构提档升级奖励</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after="0" w:line="560" w:lineRule="exact"/>
        <w:ind w:firstLine="664" w:firstLineChars="200"/>
        <w:rPr>
          <w:rFonts w:hint="eastAsia" w:ascii="仿宋_GB2312" w:hAnsi="仿宋_GB2312" w:eastAsia="仿宋_GB2312" w:cs="仿宋_GB2312"/>
          <w:spacing w:val="6"/>
          <w:sz w:val="32"/>
          <w:szCs w:val="32"/>
          <w:lang w:val="zh-TW"/>
        </w:rPr>
      </w:pPr>
      <w:r>
        <w:rPr>
          <w:rFonts w:hint="eastAsia" w:ascii="仿宋_GB2312" w:hAnsi="仿宋_GB2312" w:eastAsia="仿宋_GB2312" w:cs="仿宋_GB2312"/>
          <w:spacing w:val="6"/>
          <w:sz w:val="32"/>
          <w:szCs w:val="32"/>
          <w:lang w:val="zh-TW"/>
        </w:rPr>
        <w:t>（一）申报主体在亦庄新城225平方公里范围内注册并实际经营。</w:t>
      </w:r>
    </w:p>
    <w:p>
      <w:pPr>
        <w:spacing w:after="0" w:line="560" w:lineRule="exact"/>
        <w:ind w:firstLine="664" w:firstLineChars="200"/>
        <w:rPr>
          <w:rFonts w:hint="eastAsia" w:ascii="仿宋_GB2312" w:hAnsi="仿宋_GB2312" w:eastAsia="仿宋_GB2312" w:cs="仿宋_GB2312"/>
          <w:spacing w:val="6"/>
          <w:sz w:val="32"/>
          <w:szCs w:val="32"/>
          <w:lang w:val="zh-TW"/>
        </w:rPr>
      </w:pPr>
      <w:r>
        <w:rPr>
          <w:rFonts w:hint="eastAsia" w:ascii="仿宋_GB2312" w:hAnsi="仿宋_GB2312" w:eastAsia="仿宋_GB2312" w:cs="仿宋_GB2312"/>
          <w:spacing w:val="6"/>
          <w:sz w:val="32"/>
          <w:szCs w:val="32"/>
          <w:lang w:val="zh-TW"/>
        </w:rPr>
        <w:t>（二）申报主体</w:t>
      </w:r>
      <w:r>
        <w:rPr>
          <w:rFonts w:ascii="仿宋_GB2312" w:hAnsi="仿宋_GB2312" w:eastAsia="仿宋_GB2312" w:cs="仿宋_GB2312"/>
          <w:spacing w:val="6"/>
          <w:sz w:val="32"/>
          <w:szCs w:val="32"/>
        </w:rPr>
        <w:t>近三年</w:t>
      </w:r>
      <w:r>
        <w:rPr>
          <w:rFonts w:hint="eastAsia" w:ascii="仿宋_GB2312" w:hAnsi="仿宋_GB2312" w:eastAsia="仿宋_GB2312" w:cs="仿宋_GB2312"/>
          <w:spacing w:val="6"/>
          <w:sz w:val="32"/>
          <w:szCs w:val="32"/>
          <w:lang w:val="zh-TW"/>
        </w:rPr>
        <w:t>无重大行政处罚记录和刑事犯罪记录，未列入严重违法失信主体名单的法人和其他组织。</w:t>
      </w:r>
    </w:p>
    <w:p>
      <w:pPr>
        <w:spacing w:after="0"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（三）申报主体的资格需要满足以下条件之一：</w:t>
      </w:r>
    </w:p>
    <w:p>
      <w:pPr>
        <w:spacing w:after="0"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1.新设立的银行一级分行以及证券公司、保险公司一级分支机构。</w:t>
      </w:r>
    </w:p>
    <w:p>
      <w:pPr>
        <w:spacing w:after="0" w:line="560" w:lineRule="exact"/>
        <w:ind w:firstLine="664" w:firstLineChars="200"/>
        <w:rPr>
          <w:rFonts w:hint="eastAsia" w:ascii="仿宋_GB2312" w:hAnsi="仿宋_GB2312" w:eastAsia="仿宋_GB2312" w:cs="仿宋_GB2312"/>
          <w:spacing w:val="6"/>
          <w:sz w:val="32"/>
          <w:szCs w:val="32"/>
          <w:lang w:val="zh-TW"/>
        </w:rPr>
      </w:pPr>
      <w:r>
        <w:rPr>
          <w:rFonts w:hint="eastAsia" w:ascii="仿宋_GB2312" w:hAnsi="仿宋_GB2312" w:eastAsia="仿宋_GB2312" w:cs="仿宋_GB2312"/>
          <w:spacing w:val="6"/>
          <w:sz w:val="32"/>
          <w:szCs w:val="32"/>
        </w:rPr>
        <w:t>2.新升格的银行二级分行。</w:t>
      </w:r>
    </w:p>
    <w:p>
      <w:pPr>
        <w:spacing w:after="0" w:line="56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对新设立的银行一级分行以及证券公司、保险公司一级分支机构，给予400万元一次性开办费支持；新升格的银行二级分行给予200万元一次性开办费支持</w:t>
      </w:r>
      <w:r>
        <w:rPr>
          <w:rFonts w:hint="eastAsia" w:ascii="仿宋_GB2312" w:hAnsi="仿宋_GB2312" w:eastAsia="仿宋_GB2312" w:cs="仿宋_GB2312"/>
          <w:sz w:val="32"/>
          <w:szCs w:val="32"/>
          <w:lang w:val="zh-TW" w:eastAsia="zh-TW"/>
        </w:rPr>
        <w:t>。</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（一）申报材料</w:t>
      </w:r>
    </w:p>
    <w:p>
      <w:pPr>
        <w:spacing w:after="0" w:line="560" w:lineRule="exact"/>
        <w:ind w:firstLine="640" w:firstLineChars="200"/>
        <w:outlineLvl w:val="2"/>
        <w:rPr>
          <w:rFonts w:hint="eastAsia" w:ascii="仿宋_GB2312" w:hAnsi="仿宋_GB2312" w:eastAsia="仿宋_GB2312" w:cs="仿宋_GB2312"/>
          <w:sz w:val="32"/>
          <w:szCs w:val="32"/>
        </w:rPr>
      </w:pPr>
      <w:bookmarkStart w:id="0" w:name="_Hlk98937573"/>
      <w:r>
        <w:rPr>
          <w:rFonts w:hint="eastAsia" w:ascii="仿宋_GB2312" w:hAnsi="仿宋_GB2312" w:eastAsia="仿宋_GB2312" w:cs="仿宋_GB2312"/>
          <w:sz w:val="32"/>
          <w:szCs w:val="32"/>
        </w:rPr>
        <w:t>1.2025年金融分支机构提档升级奖励申报表，在线填写；</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3.承诺书，下载模板填写，签字、加盖公章，彩色扫描上传；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4.银行账户信息，下载模板填写，加盖公章，彩色扫描上传；</w:t>
      </w:r>
    </w:p>
    <w:p>
      <w:pPr>
        <w:spacing w:after="0" w:line="56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5.国家金融监管部门批复文件，原件彩色扫描上传</w:t>
      </w:r>
      <w:bookmarkEnd w:id="0"/>
      <w:r>
        <w:rPr>
          <w:rFonts w:hint="eastAsia" w:ascii="仿宋_GB2312" w:hAnsi="仿宋_GB2312" w:eastAsia="仿宋_GB2312" w:cs="仿宋_GB2312"/>
          <w:sz w:val="32"/>
          <w:szCs w:val="32"/>
        </w:rPr>
        <w:t>。</w:t>
      </w:r>
    </w:p>
    <w:p>
      <w:pPr>
        <w:spacing w:after="0"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六、办理程序</w:t>
      </w:r>
    </w:p>
    <w:p>
      <w:pPr>
        <w:pStyle w:val="6"/>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widowControl/>
        <w:numPr>
          <w:ilvl w:val="255"/>
          <w:numId w:val="0"/>
        </w:numPr>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对申报材料进行实质审核。</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：申报主体在规定期间内从平台下载带水印的申报材料进行打印，并前往政务服务大厅“政策申报”窗口提交材料，工作人员核验，与网上提交材料一致的，予以收件；不符合的，当场告知补正要求。</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6"/>
        <w:widowControl/>
        <w:shd w:val="clear" w:color="auto" w:fill="FFFFFF"/>
        <w:spacing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56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2025年3月7日至2025年3月21日</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560" w:lineRule="exact"/>
        <w:ind w:firstLine="640" w:firstLineChars="200"/>
        <w:rPr>
          <w:rFonts w:eastAsia="仿宋_GB2312"/>
          <w:sz w:val="32"/>
          <w:szCs w:val="32"/>
        </w:rPr>
      </w:pPr>
      <w:r>
        <w:rPr>
          <w:rFonts w:hint="eastAsia" w:eastAsia="仿宋_GB2312"/>
          <w:sz w:val="32"/>
          <w:szCs w:val="32"/>
        </w:rPr>
        <w:t>政策咨询：</w:t>
      </w:r>
    </w:p>
    <w:p>
      <w:pPr>
        <w:spacing w:after="0" w:line="560" w:lineRule="exact"/>
        <w:ind w:firstLine="640" w:firstLineChars="200"/>
        <w:rPr>
          <w:rFonts w:eastAsia="仿宋_GB2312"/>
          <w:sz w:val="32"/>
          <w:szCs w:val="32"/>
        </w:rPr>
      </w:pPr>
      <w:r>
        <w:rPr>
          <w:rFonts w:hint="eastAsia" w:eastAsia="仿宋_GB2312"/>
          <w:sz w:val="32"/>
          <w:szCs w:val="32"/>
        </w:rPr>
        <w:t>经开区政务服务大厅“政策申报”窗口，联系电话：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56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区商务金融局，联系人：李镕辰，联系电话：010-87163239，工作日上午9:00—12:00，下午2:00—6:00。</w:t>
      </w:r>
    </w:p>
    <w:p>
      <w:pPr>
        <w:spacing w:after="0" w:line="560" w:lineRule="exact"/>
        <w:ind w:firstLine="640" w:firstLineChars="200"/>
        <w:rPr>
          <w:rFonts w:eastAsia="仿宋_GB2312"/>
          <w:sz w:val="32"/>
          <w:szCs w:val="32"/>
        </w:rPr>
      </w:pPr>
      <w:r>
        <w:rPr>
          <w:rFonts w:hint="eastAsia" w:eastAsia="仿宋_GB2312"/>
          <w:sz w:val="32"/>
          <w:szCs w:val="32"/>
        </w:rPr>
        <w:t>技术支持：</w:t>
      </w:r>
    </w:p>
    <w:p>
      <w:pPr>
        <w:spacing w:after="0" w:line="56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56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60052"/>
    <w:rsid w:val="00062C5F"/>
    <w:rsid w:val="000F62F2"/>
    <w:rsid w:val="001145E7"/>
    <w:rsid w:val="00161422"/>
    <w:rsid w:val="00161CCE"/>
    <w:rsid w:val="002141DD"/>
    <w:rsid w:val="002838D9"/>
    <w:rsid w:val="00360EF1"/>
    <w:rsid w:val="00395968"/>
    <w:rsid w:val="00457B4D"/>
    <w:rsid w:val="006A084B"/>
    <w:rsid w:val="006A1513"/>
    <w:rsid w:val="006D0140"/>
    <w:rsid w:val="00710378"/>
    <w:rsid w:val="00844BDB"/>
    <w:rsid w:val="00876FAC"/>
    <w:rsid w:val="00885551"/>
    <w:rsid w:val="008E2002"/>
    <w:rsid w:val="00900A14"/>
    <w:rsid w:val="00917370"/>
    <w:rsid w:val="00920D70"/>
    <w:rsid w:val="00923A77"/>
    <w:rsid w:val="0098077A"/>
    <w:rsid w:val="00A01EE8"/>
    <w:rsid w:val="00A330EF"/>
    <w:rsid w:val="00A3406B"/>
    <w:rsid w:val="00B74D80"/>
    <w:rsid w:val="00B94922"/>
    <w:rsid w:val="00C122AB"/>
    <w:rsid w:val="00D460B2"/>
    <w:rsid w:val="00D668C9"/>
    <w:rsid w:val="00D76185"/>
    <w:rsid w:val="00D85A9F"/>
    <w:rsid w:val="00EA199B"/>
    <w:rsid w:val="00FF488C"/>
    <w:rsid w:val="01540D91"/>
    <w:rsid w:val="01586909"/>
    <w:rsid w:val="015C7ADB"/>
    <w:rsid w:val="01904DED"/>
    <w:rsid w:val="01CB7B50"/>
    <w:rsid w:val="01D948CF"/>
    <w:rsid w:val="01DF4B2C"/>
    <w:rsid w:val="020C0B78"/>
    <w:rsid w:val="0225322D"/>
    <w:rsid w:val="02297D4E"/>
    <w:rsid w:val="025430A8"/>
    <w:rsid w:val="026102BC"/>
    <w:rsid w:val="0278373A"/>
    <w:rsid w:val="0290748C"/>
    <w:rsid w:val="02CB619B"/>
    <w:rsid w:val="03056B13"/>
    <w:rsid w:val="032269ED"/>
    <w:rsid w:val="037C128E"/>
    <w:rsid w:val="03987D96"/>
    <w:rsid w:val="03E353C9"/>
    <w:rsid w:val="03FA3EE0"/>
    <w:rsid w:val="04080ECA"/>
    <w:rsid w:val="04737D47"/>
    <w:rsid w:val="048B28B7"/>
    <w:rsid w:val="04BF0B67"/>
    <w:rsid w:val="052A15A0"/>
    <w:rsid w:val="054C1259"/>
    <w:rsid w:val="05933C0C"/>
    <w:rsid w:val="05AE227A"/>
    <w:rsid w:val="05AE34A7"/>
    <w:rsid w:val="05D14D85"/>
    <w:rsid w:val="06113255"/>
    <w:rsid w:val="0612509F"/>
    <w:rsid w:val="0646239C"/>
    <w:rsid w:val="06B62BF6"/>
    <w:rsid w:val="06D3553D"/>
    <w:rsid w:val="06FE1C51"/>
    <w:rsid w:val="072A1178"/>
    <w:rsid w:val="074E6B15"/>
    <w:rsid w:val="078B6DBE"/>
    <w:rsid w:val="07936930"/>
    <w:rsid w:val="07A03D8C"/>
    <w:rsid w:val="07B11C5A"/>
    <w:rsid w:val="0840700F"/>
    <w:rsid w:val="08925D0E"/>
    <w:rsid w:val="089620E8"/>
    <w:rsid w:val="08A45B0A"/>
    <w:rsid w:val="08A825A4"/>
    <w:rsid w:val="08B97A0D"/>
    <w:rsid w:val="08BF34BA"/>
    <w:rsid w:val="08CC64FD"/>
    <w:rsid w:val="08D44C62"/>
    <w:rsid w:val="08FA7112"/>
    <w:rsid w:val="093955CA"/>
    <w:rsid w:val="09677F84"/>
    <w:rsid w:val="09FF2B6A"/>
    <w:rsid w:val="0A12715A"/>
    <w:rsid w:val="0A192B78"/>
    <w:rsid w:val="0A7A09DE"/>
    <w:rsid w:val="0A7A6E57"/>
    <w:rsid w:val="0A7E5C22"/>
    <w:rsid w:val="0AD40459"/>
    <w:rsid w:val="0B1708BD"/>
    <w:rsid w:val="0B38121B"/>
    <w:rsid w:val="0B3E75A5"/>
    <w:rsid w:val="0B401B24"/>
    <w:rsid w:val="0B6B119E"/>
    <w:rsid w:val="0B782C5C"/>
    <w:rsid w:val="0BA26F38"/>
    <w:rsid w:val="0BD84C47"/>
    <w:rsid w:val="0BEE6FC8"/>
    <w:rsid w:val="0BF72154"/>
    <w:rsid w:val="0C3A5354"/>
    <w:rsid w:val="0C4C6FFF"/>
    <w:rsid w:val="0C7D2B96"/>
    <w:rsid w:val="0C804154"/>
    <w:rsid w:val="0C817D6C"/>
    <w:rsid w:val="0C981D08"/>
    <w:rsid w:val="0CD93D42"/>
    <w:rsid w:val="0D0138A5"/>
    <w:rsid w:val="0D920D6C"/>
    <w:rsid w:val="0D9E4973"/>
    <w:rsid w:val="0E1A1702"/>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BE10ED"/>
    <w:rsid w:val="10C13CF3"/>
    <w:rsid w:val="10E13271"/>
    <w:rsid w:val="117D2BA9"/>
    <w:rsid w:val="118F3527"/>
    <w:rsid w:val="11CA43B8"/>
    <w:rsid w:val="11D62CBE"/>
    <w:rsid w:val="121B617A"/>
    <w:rsid w:val="1252310C"/>
    <w:rsid w:val="12E52159"/>
    <w:rsid w:val="12EE4885"/>
    <w:rsid w:val="13EB6674"/>
    <w:rsid w:val="14036F1C"/>
    <w:rsid w:val="14051437"/>
    <w:rsid w:val="142723BB"/>
    <w:rsid w:val="14483333"/>
    <w:rsid w:val="144F1126"/>
    <w:rsid w:val="14942D13"/>
    <w:rsid w:val="14977ACF"/>
    <w:rsid w:val="14A407D6"/>
    <w:rsid w:val="15026CFF"/>
    <w:rsid w:val="151415E7"/>
    <w:rsid w:val="153730CA"/>
    <w:rsid w:val="1548367B"/>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7E7DF7"/>
    <w:rsid w:val="1B8109FE"/>
    <w:rsid w:val="1B8D4C8F"/>
    <w:rsid w:val="1B9377B6"/>
    <w:rsid w:val="1BB56B5C"/>
    <w:rsid w:val="1C0F10AE"/>
    <w:rsid w:val="1C14717E"/>
    <w:rsid w:val="1C1B504A"/>
    <w:rsid w:val="1C2B4E13"/>
    <w:rsid w:val="1C3B6D59"/>
    <w:rsid w:val="1C6E285C"/>
    <w:rsid w:val="1C7B6FF9"/>
    <w:rsid w:val="1D075252"/>
    <w:rsid w:val="1D451EB0"/>
    <w:rsid w:val="1D48246B"/>
    <w:rsid w:val="1D615728"/>
    <w:rsid w:val="1D761D5A"/>
    <w:rsid w:val="1E3278A5"/>
    <w:rsid w:val="1E447CA3"/>
    <w:rsid w:val="1E543091"/>
    <w:rsid w:val="1E6C3F37"/>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E02390"/>
    <w:rsid w:val="22F6591B"/>
    <w:rsid w:val="23117B7A"/>
    <w:rsid w:val="231A5872"/>
    <w:rsid w:val="23403409"/>
    <w:rsid w:val="235F00AC"/>
    <w:rsid w:val="23632A9E"/>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752564"/>
    <w:rsid w:val="288627FF"/>
    <w:rsid w:val="28942D3D"/>
    <w:rsid w:val="28A332E9"/>
    <w:rsid w:val="29857C2F"/>
    <w:rsid w:val="29D97CC6"/>
    <w:rsid w:val="2A1D0ADC"/>
    <w:rsid w:val="2A5F7219"/>
    <w:rsid w:val="2A6102E1"/>
    <w:rsid w:val="2AB25697"/>
    <w:rsid w:val="2ACE42F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2FC36147"/>
    <w:rsid w:val="3012512B"/>
    <w:rsid w:val="30140526"/>
    <w:rsid w:val="306E5387"/>
    <w:rsid w:val="30AB0C90"/>
    <w:rsid w:val="310A0BC4"/>
    <w:rsid w:val="31281962"/>
    <w:rsid w:val="312A1C2B"/>
    <w:rsid w:val="31466374"/>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85279C"/>
    <w:rsid w:val="36E95DAE"/>
    <w:rsid w:val="37184DFF"/>
    <w:rsid w:val="37AF3B96"/>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2328C1"/>
    <w:rsid w:val="3F31781F"/>
    <w:rsid w:val="3F346049"/>
    <w:rsid w:val="3F3D4664"/>
    <w:rsid w:val="3F580B78"/>
    <w:rsid w:val="3FBC30E1"/>
    <w:rsid w:val="3FD009E6"/>
    <w:rsid w:val="3FD3067D"/>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00413"/>
    <w:rsid w:val="43465CD3"/>
    <w:rsid w:val="44256103"/>
    <w:rsid w:val="444923EA"/>
    <w:rsid w:val="445E5EFA"/>
    <w:rsid w:val="445F1218"/>
    <w:rsid w:val="44993F4E"/>
    <w:rsid w:val="44F72146"/>
    <w:rsid w:val="45276590"/>
    <w:rsid w:val="452B2CE7"/>
    <w:rsid w:val="459F5DC5"/>
    <w:rsid w:val="45C327BF"/>
    <w:rsid w:val="45DB5022"/>
    <w:rsid w:val="45DE6545"/>
    <w:rsid w:val="45E278DF"/>
    <w:rsid w:val="4634401A"/>
    <w:rsid w:val="46352992"/>
    <w:rsid w:val="467F7F60"/>
    <w:rsid w:val="469D497C"/>
    <w:rsid w:val="46C07C6D"/>
    <w:rsid w:val="46D46FCB"/>
    <w:rsid w:val="46F44A2C"/>
    <w:rsid w:val="46F72E76"/>
    <w:rsid w:val="473F0C29"/>
    <w:rsid w:val="474159DD"/>
    <w:rsid w:val="48045B63"/>
    <w:rsid w:val="484F2842"/>
    <w:rsid w:val="49006A23"/>
    <w:rsid w:val="492A682B"/>
    <w:rsid w:val="49596A53"/>
    <w:rsid w:val="49AE2D68"/>
    <w:rsid w:val="49C3065B"/>
    <w:rsid w:val="49FE7196"/>
    <w:rsid w:val="4A2E4F9F"/>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EF6191B"/>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3C2A958"/>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32355"/>
    <w:rsid w:val="57DD4B77"/>
    <w:rsid w:val="58182573"/>
    <w:rsid w:val="583121F8"/>
    <w:rsid w:val="58376A24"/>
    <w:rsid w:val="5844620B"/>
    <w:rsid w:val="58C4469B"/>
    <w:rsid w:val="58E81E30"/>
    <w:rsid w:val="58E90CAC"/>
    <w:rsid w:val="59254995"/>
    <w:rsid w:val="59403A96"/>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D47021"/>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EDD2F70"/>
    <w:rsid w:val="5F3F6EB7"/>
    <w:rsid w:val="5F595787"/>
    <w:rsid w:val="5F8D1C46"/>
    <w:rsid w:val="5FAE3FBB"/>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7FC3439"/>
    <w:rsid w:val="6808097F"/>
    <w:rsid w:val="686076FC"/>
    <w:rsid w:val="68B43ADD"/>
    <w:rsid w:val="68E479A1"/>
    <w:rsid w:val="69A41DA6"/>
    <w:rsid w:val="69AE1DB7"/>
    <w:rsid w:val="6A4F7423"/>
    <w:rsid w:val="6A7C3B1B"/>
    <w:rsid w:val="6A9153AF"/>
    <w:rsid w:val="6A9A5399"/>
    <w:rsid w:val="6AC975E8"/>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920165"/>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6FFF6326"/>
    <w:rsid w:val="70007B47"/>
    <w:rsid w:val="70131A31"/>
    <w:rsid w:val="702F1D23"/>
    <w:rsid w:val="705342C1"/>
    <w:rsid w:val="708D3892"/>
    <w:rsid w:val="70A8641D"/>
    <w:rsid w:val="70B75CF8"/>
    <w:rsid w:val="70C079DE"/>
    <w:rsid w:val="712573D2"/>
    <w:rsid w:val="7155010D"/>
    <w:rsid w:val="715C4E8A"/>
    <w:rsid w:val="717F152D"/>
    <w:rsid w:val="71D07EE4"/>
    <w:rsid w:val="720751EB"/>
    <w:rsid w:val="720F3D8F"/>
    <w:rsid w:val="72A30CDA"/>
    <w:rsid w:val="72A75458"/>
    <w:rsid w:val="72D92721"/>
    <w:rsid w:val="732D07CF"/>
    <w:rsid w:val="734158C2"/>
    <w:rsid w:val="73436223"/>
    <w:rsid w:val="735538BA"/>
    <w:rsid w:val="73AC6967"/>
    <w:rsid w:val="73AE56BA"/>
    <w:rsid w:val="740941C7"/>
    <w:rsid w:val="74A24F54"/>
    <w:rsid w:val="74DA21D9"/>
    <w:rsid w:val="74FC6873"/>
    <w:rsid w:val="75250E17"/>
    <w:rsid w:val="75362EE6"/>
    <w:rsid w:val="75576C93"/>
    <w:rsid w:val="756D12FD"/>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A44215"/>
    <w:rsid w:val="77CF1648"/>
    <w:rsid w:val="77D7CE6F"/>
    <w:rsid w:val="781D2C7A"/>
    <w:rsid w:val="783A56AF"/>
    <w:rsid w:val="78413BD7"/>
    <w:rsid w:val="788F717D"/>
    <w:rsid w:val="78915F29"/>
    <w:rsid w:val="78A77DB4"/>
    <w:rsid w:val="78B31BDE"/>
    <w:rsid w:val="78CC4A03"/>
    <w:rsid w:val="78E70DA1"/>
    <w:rsid w:val="78F21850"/>
    <w:rsid w:val="791B03AB"/>
    <w:rsid w:val="79714C66"/>
    <w:rsid w:val="79D31F15"/>
    <w:rsid w:val="79D657CC"/>
    <w:rsid w:val="79E40A04"/>
    <w:rsid w:val="7A151811"/>
    <w:rsid w:val="7A767A7E"/>
    <w:rsid w:val="7B14716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A35C21"/>
    <w:rsid w:val="7DFC4CA2"/>
    <w:rsid w:val="7E137B54"/>
    <w:rsid w:val="7E4E0E62"/>
    <w:rsid w:val="7E503B32"/>
    <w:rsid w:val="7E6B7B24"/>
    <w:rsid w:val="7E757D8F"/>
    <w:rsid w:val="7E782A8A"/>
    <w:rsid w:val="7EB20667"/>
    <w:rsid w:val="7EF72AF1"/>
    <w:rsid w:val="7EFFFA7B"/>
    <w:rsid w:val="7FAA1CAF"/>
    <w:rsid w:val="7FC14E2C"/>
    <w:rsid w:val="7FFB8B28"/>
    <w:rsid w:val="9F6F6015"/>
    <w:rsid w:val="9FB645F6"/>
    <w:rsid w:val="BCFF6CAE"/>
    <w:rsid w:val="BF6CDA00"/>
    <w:rsid w:val="C7DB93C8"/>
    <w:rsid w:val="DD7E7DC7"/>
    <w:rsid w:val="DEF5E07B"/>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annotation text"/>
    <w:basedOn w:val="1"/>
    <w:link w:val="16"/>
    <w:qFormat/>
    <w:uiPriority w:val="0"/>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styleId="7">
    <w:name w:val="annotation subject"/>
    <w:basedOn w:val="3"/>
    <w:next w:val="3"/>
    <w:link w:val="17"/>
    <w:qFormat/>
    <w:uiPriority w:val="0"/>
    <w:rPr>
      <w:b/>
      <w:bCs/>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paragraph" w:customStyle="1" w:styleId="14">
    <w:name w:val="修订1"/>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15">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6">
    <w:name w:val="批注文字 字符"/>
    <w:basedOn w:val="9"/>
    <w:link w:val="3"/>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 w:type="paragraph" w:customStyle="1" w:styleId="18">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1304</Words>
  <Characters>1455</Characters>
  <Lines>10</Lines>
  <Paragraphs>3</Paragraphs>
  <TotalTime>1</TotalTime>
  <ScaleCrop>false</ScaleCrop>
  <LinksUpToDate>false</LinksUpToDate>
  <CharactersWithSpaces>1455</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2019-08-14T14:54:00Z</dcterms:created>
  <dc:creator>zkk</dc:creator>
  <cp:lastModifiedBy>BDA</cp:lastModifiedBy>
  <cp:lastPrinted>2020-03-24T11:03:00Z</cp:lastPrinted>
  <dcterms:modified xsi:type="dcterms:W3CDTF">2025-03-03T17:52:49Z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y fmtid="{D5CDD505-2E9C-101B-9397-08002B2CF9AE}" pid="4" name="KSOTemplateDocerSaveRecord">
    <vt:lpwstr>eyJoZGlkIjoiZmRiZjNjZDEzYWJlODQ5ZTcyZjk0MDY2YTgyNTRlMzAiLCJ1c2VySWQiOiIyNTczMzg5MjQifQ==</vt:lpwstr>
  </property>
</Properties>
</file>