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58" w:lineRule="exact"/>
        <w:jc w:val="left"/>
        <w:outlineLvl w:val="0"/>
        <w:rPr>
          <w:rFonts w:hint="eastAsia" w:ascii="方正小标宋简体" w:hAnsi="方正小标宋简体" w:eastAsia="方正小标宋简体" w:cs="方正小标宋简体"/>
          <w:sz w:val="44"/>
          <w:szCs w:val="44"/>
        </w:rPr>
      </w:pPr>
      <w:bookmarkStart w:id="0" w:name="_GoBack"/>
      <w:bookmarkEnd w:id="0"/>
      <w:r>
        <w:rPr>
          <w:rFonts w:hint="eastAsia" w:ascii="黑体" w:hAnsi="黑体" w:eastAsia="黑体" w:cs="黑体"/>
          <w:color w:val="333333"/>
          <w:spacing w:val="15"/>
          <w:kern w:val="0"/>
          <w:sz w:val="32"/>
          <w:szCs w:val="32"/>
          <w:shd w:val="clear" w:color="auto" w:fill="FFFFFF"/>
        </w:rPr>
        <w:t>附件4</w:t>
      </w:r>
    </w:p>
    <w:p>
      <w:pPr>
        <w:spacing w:after="157" w:afterLines="50"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2025年合格境外有限合伙人（QFLP）</w:t>
      </w:r>
    </w:p>
    <w:p>
      <w:pPr>
        <w:spacing w:after="0"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落户奖励办事指南</w:t>
      </w:r>
    </w:p>
    <w:p>
      <w:pPr>
        <w:spacing w:after="0" w:line="558" w:lineRule="exact"/>
        <w:rPr>
          <w:rFonts w:hint="eastAsia" w:ascii="仿宋_GB2312" w:hAnsi="仿宋_GB2312" w:eastAsia="仿宋_GB2312" w:cs="仿宋_GB2312"/>
          <w:sz w:val="32"/>
          <w:szCs w:val="32"/>
        </w:rPr>
      </w:pPr>
    </w:p>
    <w:p>
      <w:pPr>
        <w:spacing w:after="0" w:line="558"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58" w:lineRule="exact"/>
        <w:ind w:firstLine="640"/>
      </w:pP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《北京经济技术开发区关于加快推动产业金融高质量发展的若干措施》（京技管发〔2024〕33号）中第十二条“</w:t>
      </w:r>
      <w:r>
        <w:rPr>
          <w:rFonts w:hint="eastAsia" w:ascii="仿宋_GB2312" w:hAnsi="仿宋_GB2312" w:eastAsia="仿宋_GB2312" w:cs="仿宋_GB2312"/>
          <w:sz w:val="32"/>
          <w:szCs w:val="32"/>
          <w:lang w:val="zh-TW" w:eastAsia="zh-TW"/>
        </w:rPr>
        <w:t>支持合格境外有限合伙人（QFLP）发展，为企业发展壮大注入优质境外资本，助推产业转型升级。对新获得北京市合格境外有限合伙人（QFLP）试点资格的基金管理公司，给予100万元一次性奖励。对依法完成中国证券投资基金业协会备案且在经开区实际经营的QFLP基金产品，按基金产品规模实缴美元（或等值人民币）2000万美元（含）-5000万美元以下、5000万美元（含）-1亿美元、1亿美元（含）以上，分别给予一次性50万元、80万元、100万元人民币奖励。涉及经开区政府引导基金、财政资金或国有资本参与出资的，应剔除上述出资部分的投资额后，再行计算奖励资金。本条内容与第十一条按“就高不重复”原则执行。</w:t>
      </w:r>
      <w:r>
        <w:rPr>
          <w:rFonts w:hint="eastAsia" w:ascii="仿宋_GB2312" w:hAnsi="仿宋_GB2312" w:eastAsia="仿宋_GB2312" w:cs="仿宋_GB2312"/>
          <w:bCs/>
          <w:color w:val="000000"/>
          <w:kern w:val="0"/>
          <w:sz w:val="32"/>
          <w:szCs w:val="32"/>
        </w:rPr>
        <w:t>”</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58" w:lineRule="exact"/>
        <w:ind w:firstLine="640" w:firstLineChars="200"/>
        <w:rPr>
          <w:rFonts w:eastAsia="仿宋_GB2312" w:cs="仿宋_GB2312"/>
          <w:sz w:val="32"/>
          <w:szCs w:val="32"/>
        </w:rPr>
      </w:pPr>
      <w:r>
        <w:rPr>
          <w:rFonts w:hint="eastAsia" w:ascii="仿宋_GB2312" w:hAnsi="仿宋_GB2312" w:eastAsia="仿宋_GB2312" w:cs="仿宋_GB2312"/>
          <w:sz w:val="32"/>
          <w:szCs w:val="32"/>
          <w:lang w:val="zh-TW" w:eastAsia="zh-TW"/>
        </w:rPr>
        <w:t>2025年合</w:t>
      </w:r>
      <w:r>
        <w:rPr>
          <w:rFonts w:hint="eastAsia" w:eastAsia="仿宋_GB2312" w:cs="仿宋_GB2312"/>
          <w:sz w:val="32"/>
          <w:szCs w:val="32"/>
        </w:rPr>
        <w:t>格境外有限合伙人（QFLP）落户奖励</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（一）申报主体在亦庄新城225平方公里范围内注册并实际经营。</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（二）申报主体</w:t>
      </w:r>
      <w:r>
        <w:rPr>
          <w:rFonts w:ascii="仿宋_GB2312" w:hAnsi="仿宋_GB2312" w:eastAsia="仿宋_GB2312" w:cs="仿宋_GB2312"/>
          <w:sz w:val="32"/>
          <w:szCs w:val="32"/>
        </w:rPr>
        <w:t>近三年</w:t>
      </w:r>
      <w:r>
        <w:rPr>
          <w:rFonts w:hint="eastAsia" w:ascii="仿宋_GB2312" w:hAnsi="仿宋_GB2312" w:eastAsia="仿宋_GB2312" w:cs="仿宋_GB2312"/>
          <w:sz w:val="32"/>
          <w:szCs w:val="32"/>
        </w:rPr>
        <w:t>无重大行政处罚记录和刑事犯罪记录，未列入严重违法失信主体名单的法人和其他组织。</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若申请QFLP试点资格奖励，</w:t>
      </w:r>
      <w:r>
        <w:rPr>
          <w:rFonts w:hint="eastAsia" w:ascii="仿宋_GB2312" w:hAnsi="仿宋_GB2312" w:eastAsia="仿宋_GB2312" w:cs="仿宋_GB2312"/>
          <w:sz w:val="32"/>
          <w:szCs w:val="32"/>
        </w:rPr>
        <w:t>申报主体</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新获得北京市合格境外有限合伙人（QFLP）试点资格的基金管理公司。</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（四）若申请</w:t>
      </w:r>
      <w:r>
        <w:rPr>
          <w:rFonts w:hint="eastAsia" w:ascii="仿宋_GB2312" w:hAnsi="仿宋_GB2312" w:eastAsia="仿宋_GB2312" w:cs="仿宋_GB2312"/>
          <w:sz w:val="32"/>
          <w:szCs w:val="32"/>
          <w:lang w:val="zh-TW" w:eastAsia="zh-TW"/>
        </w:rPr>
        <w:t>QFLP基金产品</w:t>
      </w:r>
      <w:r>
        <w:rPr>
          <w:rFonts w:hint="eastAsia" w:ascii="仿宋_GB2312" w:hAnsi="仿宋_GB2312" w:eastAsia="仿宋_GB2312" w:cs="仿宋_GB2312"/>
          <w:sz w:val="32"/>
          <w:szCs w:val="32"/>
          <w:lang w:val="zh-TW"/>
        </w:rPr>
        <w:t>奖励，基金产品应</w:t>
      </w:r>
      <w:r>
        <w:rPr>
          <w:rFonts w:hint="eastAsia" w:ascii="仿宋_GB2312" w:hAnsi="仿宋_GB2312" w:eastAsia="仿宋_GB2312" w:cs="仿宋_GB2312"/>
          <w:sz w:val="32"/>
          <w:szCs w:val="32"/>
          <w:lang w:val="zh-TW" w:eastAsia="zh-TW"/>
        </w:rPr>
        <w:t>依法完成中国证券投资基金业协会备案</w:t>
      </w:r>
      <w:r>
        <w:rPr>
          <w:rFonts w:hint="eastAsia" w:ascii="仿宋_GB2312" w:hAnsi="仿宋_GB2312" w:eastAsia="仿宋_GB2312" w:cs="仿宋_GB2312"/>
          <w:sz w:val="32"/>
          <w:szCs w:val="32"/>
          <w:lang w:val="zh-TW" w:eastAsia="zh-CN"/>
        </w:rPr>
        <w:t>且</w:t>
      </w:r>
      <w:r>
        <w:rPr>
          <w:rFonts w:hint="eastAsia" w:ascii="仿宋_GB2312" w:hAnsi="仿宋_GB2312" w:eastAsia="仿宋_GB2312" w:cs="仿宋_GB2312"/>
          <w:sz w:val="32"/>
          <w:szCs w:val="32"/>
          <w:lang w:val="zh-TW" w:eastAsia="zh-TW"/>
        </w:rPr>
        <w:t>在经开区实际经营</w:t>
      </w:r>
      <w:r>
        <w:rPr>
          <w:rFonts w:hint="eastAsia" w:ascii="仿宋_GB2312" w:hAnsi="仿宋_GB2312" w:eastAsia="仿宋_GB2312" w:cs="仿宋_GB2312"/>
          <w:sz w:val="32"/>
          <w:szCs w:val="32"/>
          <w:lang w:val="en-US" w:eastAsia="zh-CN"/>
        </w:rPr>
        <w:t>的QFLP基金产品</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基金产品规模实缴美元（或等值人民币）2000万美元（含）</w:t>
      </w:r>
      <w:r>
        <w:rPr>
          <w:rFonts w:hint="eastAsia" w:ascii="仿宋_GB2312" w:hAnsi="仿宋_GB2312" w:eastAsia="仿宋_GB2312" w:cs="仿宋_GB2312"/>
          <w:sz w:val="32"/>
          <w:szCs w:val="32"/>
          <w:lang w:val="zh-TW"/>
        </w:rPr>
        <w:t>以上。</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TW" w:eastAsia="zh-TW"/>
        </w:rPr>
        <w:t>对新获得北京市合格境外有限合伙人（QFLP）试点资格的基金管理公司，给予100万元一次性奖励。</w:t>
      </w:r>
    </w:p>
    <w:p>
      <w:pPr>
        <w:spacing w:after="0" w:line="558" w:lineRule="exact"/>
        <w:ind w:firstLine="640"/>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对</w:t>
      </w:r>
      <w:r>
        <w:rPr>
          <w:rFonts w:hint="eastAsia" w:ascii="仿宋_GB2312" w:hAnsi="仿宋_GB2312" w:eastAsia="仿宋_GB2312" w:cs="仿宋_GB2312"/>
          <w:sz w:val="32"/>
          <w:szCs w:val="32"/>
          <w:lang w:val="zh-TW" w:eastAsia="zh-TW"/>
        </w:rPr>
        <w:t>依法完成中国证券投资基金业协会备案且在经开区实际经营的QFLP基金产品</w:t>
      </w:r>
      <w:r>
        <w:rPr>
          <w:rFonts w:hint="eastAsia" w:ascii="仿宋_GB2312" w:hAnsi="仿宋_GB2312" w:eastAsia="仿宋_GB2312" w:cs="仿宋_GB2312"/>
          <w:sz w:val="32"/>
          <w:szCs w:val="32"/>
          <w:lang w:val="zh-TW" w:eastAsia="zh-CN"/>
        </w:rPr>
        <w:t>：</w:t>
      </w:r>
    </w:p>
    <w:p>
      <w:pPr>
        <w:spacing w:after="0" w:line="558" w:lineRule="exact"/>
        <w:ind w:firstLine="64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TW" w:eastAsia="zh-TW"/>
        </w:rPr>
        <w:t>基金产品规模实缴美元（或等值人民币）2000万美元（含）-5000万美元以下</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sz w:val="32"/>
          <w:szCs w:val="32"/>
          <w:lang w:val="zh-TW" w:eastAsia="zh-TW"/>
        </w:rPr>
        <w:t>，给予一次性50万元人民币奖励。涉及经开区政府引导基金、财政资金或国有资本参与出资的，应剔除上述出资部分的投资额后，再行计算奖励资金。</w:t>
      </w:r>
    </w:p>
    <w:p>
      <w:pPr>
        <w:spacing w:after="0" w:line="558" w:lineRule="exact"/>
        <w:ind w:firstLine="64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基金产品规模实缴美元（或等值人民币）5000万美元（含）-1亿美元</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sz w:val="32"/>
          <w:szCs w:val="32"/>
          <w:lang w:val="zh-TW" w:eastAsia="zh-TW"/>
        </w:rPr>
        <w:t>，给予一次性80万元人民币奖励。涉及经开区政府引导基金、财政资金或国有资本参与出资的，应剔除上述出资部分的投资额后，再行计算奖励资金。</w:t>
      </w:r>
    </w:p>
    <w:p>
      <w:pPr>
        <w:spacing w:after="0" w:line="558" w:lineRule="exact"/>
        <w:ind w:firstLine="64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TW" w:eastAsia="zh-TW"/>
        </w:rPr>
        <w:t>基金产品规模实缴美元（或等值人民币）1亿美元（含）以上</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sz w:val="32"/>
          <w:szCs w:val="32"/>
          <w:lang w:val="zh-TW" w:eastAsia="zh-TW"/>
        </w:rPr>
        <w:t>，给予一次性100万元人民币奖励。涉及经开区政府引导基金、财政资金或国有资本参与出资的，应剔除上述出资部分的投资额后，再行计算奖励资金。</w:t>
      </w:r>
    </w:p>
    <w:p>
      <w:pPr>
        <w:spacing w:after="0" w:line="558" w:lineRule="exact"/>
        <w:ind w:firstLine="64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（三）</w:t>
      </w:r>
      <w:r>
        <w:rPr>
          <w:rFonts w:hint="eastAsia" w:ascii="仿宋_GB2312" w:hAnsi="仿宋_GB2312" w:eastAsia="仿宋_GB2312" w:cs="仿宋_GB2312"/>
          <w:sz w:val="32"/>
          <w:szCs w:val="32"/>
        </w:rPr>
        <w:t>申报主体</w:t>
      </w:r>
      <w:r>
        <w:rPr>
          <w:rFonts w:hint="eastAsia" w:ascii="仿宋_GB2312" w:hAnsi="仿宋_GB2312" w:eastAsia="仿宋_GB2312" w:cs="仿宋_GB2312"/>
          <w:kern w:val="0"/>
          <w:sz w:val="32"/>
          <w:szCs w:val="32"/>
          <w:lang w:val="zh-TW" w:eastAsia="zh-TW"/>
        </w:rPr>
        <w:t>同时符合</w:t>
      </w:r>
      <w:r>
        <w:rPr>
          <w:rFonts w:hint="eastAsia" w:ascii="仿宋_GB2312" w:hAnsi="仿宋_GB2312" w:eastAsia="仿宋_GB2312" w:cs="仿宋_GB2312"/>
          <w:sz w:val="32"/>
          <w:szCs w:val="32"/>
          <w:lang w:val="zh-TW" w:eastAsia="zh-TW"/>
        </w:rPr>
        <w:t>本条</w:t>
      </w:r>
      <w:r>
        <w:rPr>
          <w:rFonts w:hint="eastAsia" w:ascii="仿宋_GB2312" w:hAnsi="仿宋_GB2312" w:eastAsia="仿宋_GB2312" w:cs="仿宋_GB2312"/>
          <w:sz w:val="32"/>
          <w:szCs w:val="32"/>
          <w:lang w:val="zh-TW"/>
        </w:rPr>
        <w:t>申报奖励</w:t>
      </w:r>
      <w:r>
        <w:rPr>
          <w:rFonts w:hint="eastAsia" w:ascii="仿宋_GB2312" w:hAnsi="仿宋_GB2312" w:eastAsia="仿宋_GB2312" w:cs="仿宋_GB2312"/>
          <w:sz w:val="32"/>
          <w:szCs w:val="32"/>
          <w:lang w:val="zh-TW" w:eastAsia="zh-TW"/>
        </w:rPr>
        <w:t>与</w:t>
      </w: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《北京经济技术开发区关于加快推动产业金融高质量发展的若干措施》（京技管发〔2024〕33号）中第十一条“支持私募投资机构落户”</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kern w:val="0"/>
          <w:sz w:val="32"/>
          <w:szCs w:val="32"/>
          <w:lang w:val="zh-TW" w:eastAsia="zh-TW"/>
        </w:rPr>
        <w:t>按照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rPr>
        <w:t>就高不重复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rPr>
        <w:t>原则予以支持</w:t>
      </w:r>
      <w:r>
        <w:rPr>
          <w:rFonts w:hint="eastAsia" w:ascii="仿宋_GB2312" w:hAnsi="仿宋_GB2312" w:eastAsia="仿宋_GB2312" w:cs="仿宋_GB2312"/>
          <w:kern w:val="0"/>
          <w:sz w:val="32"/>
          <w:szCs w:val="32"/>
          <w:lang w:val="zh-TW"/>
        </w:rPr>
        <w:t>。</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58"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after="0" w:line="558"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1.2025年合格境外有限合伙人（QFLP）落户奖励申报表，在线填写</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5.国家金融监管部门或北京市地方金融监督管理局颁发的金融许可证，原件彩色扫描上传；</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6.北京市QFLP试点资格认定资料，</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7.若申请</w:t>
      </w:r>
      <w:r>
        <w:rPr>
          <w:rFonts w:hint="eastAsia" w:ascii="仿宋_GB2312" w:hAnsi="仿宋_GB2312" w:eastAsia="仿宋_GB2312" w:cs="仿宋_GB2312"/>
          <w:sz w:val="32"/>
          <w:szCs w:val="32"/>
          <w:lang w:val="zh-TW" w:eastAsia="zh-TW"/>
        </w:rPr>
        <w:t>QFLP基金产品</w:t>
      </w:r>
      <w:r>
        <w:rPr>
          <w:rFonts w:hint="eastAsia" w:ascii="仿宋_GB2312" w:hAnsi="仿宋_GB2312" w:eastAsia="仿宋_GB2312" w:cs="仿宋_GB2312"/>
          <w:sz w:val="32"/>
          <w:szCs w:val="32"/>
          <w:lang w:val="zh-TW"/>
        </w:rPr>
        <w:t>奖励，需提供</w:t>
      </w:r>
      <w:r>
        <w:rPr>
          <w:rFonts w:hint="eastAsia" w:ascii="仿宋_GB2312" w:hAnsi="仿宋_GB2312" w:eastAsia="仿宋_GB2312" w:cs="仿宋_GB2312"/>
          <w:sz w:val="32"/>
          <w:szCs w:val="32"/>
          <w:lang w:val="zh-TW" w:eastAsia="zh-TW"/>
        </w:rPr>
        <w:t>中国证券投资基金业协会备案</w:t>
      </w:r>
      <w:r>
        <w:rPr>
          <w:rFonts w:hint="eastAsia" w:ascii="仿宋_GB2312" w:hAnsi="仿宋_GB2312" w:eastAsia="仿宋_GB2312" w:cs="仿宋_GB2312"/>
          <w:sz w:val="32"/>
          <w:szCs w:val="32"/>
          <w:lang w:val="zh-TW"/>
        </w:rPr>
        <w:t>证明，</w:t>
      </w:r>
      <w:r>
        <w:rPr>
          <w:rFonts w:hint="eastAsia" w:ascii="仿宋_GB2312" w:hAnsi="仿宋_GB2312" w:eastAsia="仿宋_GB2312" w:cs="仿宋_GB2312"/>
          <w:sz w:val="32"/>
          <w:szCs w:val="32"/>
        </w:rPr>
        <w:t>原件彩色扫描上传；</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8.若申请</w:t>
      </w:r>
      <w:r>
        <w:rPr>
          <w:rFonts w:hint="eastAsia" w:ascii="仿宋_GB2312" w:hAnsi="仿宋_GB2312" w:eastAsia="仿宋_GB2312" w:cs="仿宋_GB2312"/>
          <w:sz w:val="32"/>
          <w:szCs w:val="32"/>
          <w:lang w:val="zh-TW" w:eastAsia="zh-TW"/>
        </w:rPr>
        <w:t>QFLP基金产品</w:t>
      </w:r>
      <w:r>
        <w:rPr>
          <w:rFonts w:hint="eastAsia" w:ascii="仿宋_GB2312" w:hAnsi="仿宋_GB2312" w:eastAsia="仿宋_GB2312" w:cs="仿宋_GB2312"/>
          <w:sz w:val="32"/>
          <w:szCs w:val="32"/>
          <w:lang w:val="zh-TW"/>
        </w:rPr>
        <w:t>奖励，需提供</w:t>
      </w:r>
      <w:r>
        <w:rPr>
          <w:rFonts w:hint="eastAsia" w:ascii="仿宋_GB2312" w:hAnsi="仿宋_GB2312" w:eastAsia="仿宋_GB2312" w:cs="仿宋_GB2312"/>
          <w:sz w:val="32"/>
          <w:szCs w:val="32"/>
        </w:rPr>
        <w:t>基金产品实缴规模验资报告，原件彩色扫描上传；</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w:t>
      </w:r>
      <w:r>
        <w:rPr>
          <w:rFonts w:hint="eastAsia" w:ascii="仿宋_GB2312" w:hAnsi="仿宋_GB2312" w:eastAsia="仿宋_GB2312" w:cs="仿宋_GB2312"/>
          <w:sz w:val="32"/>
          <w:szCs w:val="32"/>
          <w:highlight w:val="none"/>
        </w:rPr>
        <w:t>经开区</w:t>
      </w:r>
      <w:r>
        <w:rPr>
          <w:rFonts w:hint="eastAsia" w:ascii="仿宋_GB2312" w:hAnsi="仿宋_GB2312" w:eastAsia="仿宋_GB2312" w:cs="仿宋_GB2312"/>
          <w:sz w:val="32"/>
          <w:szCs w:val="32"/>
        </w:rPr>
        <w:t>实际投资的汇总表，加盖公章，彩色扫描上传；</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10.与被投企业签订的投资协议，原件彩色扫描上传；</w:t>
      </w:r>
    </w:p>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after="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对申报材料进行实质审核。</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58"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5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年3月7日至202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年3月21日</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58" w:lineRule="exact"/>
        <w:ind w:firstLine="640" w:firstLineChars="200"/>
        <w:rPr>
          <w:rFonts w:eastAsia="仿宋_GB2312"/>
          <w:sz w:val="32"/>
          <w:szCs w:val="32"/>
        </w:rPr>
      </w:pPr>
      <w:r>
        <w:rPr>
          <w:rFonts w:hint="eastAsia" w:eastAsia="仿宋_GB2312"/>
          <w:sz w:val="32"/>
          <w:szCs w:val="32"/>
        </w:rPr>
        <w:t>政策咨询：</w:t>
      </w:r>
    </w:p>
    <w:p>
      <w:pPr>
        <w:spacing w:after="0" w:line="558"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58"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w:t>
      </w:r>
      <w:r>
        <w:rPr>
          <w:rFonts w:hint="eastAsia" w:ascii="仿宋_GB2312" w:hAnsi="仿宋_GB2312" w:eastAsia="仿宋_GB2312" w:cs="仿宋_GB2312"/>
          <w:sz w:val="32"/>
          <w:szCs w:val="32"/>
          <w:lang w:val="en-US" w:eastAsia="zh-CN"/>
        </w:rPr>
        <w:t>87163239</w:t>
      </w:r>
      <w:r>
        <w:rPr>
          <w:rFonts w:hint="eastAsia" w:ascii="仿宋_GB2312" w:hAnsi="仿宋_GB2312" w:eastAsia="仿宋_GB2312" w:cs="仿宋_GB2312"/>
          <w:sz w:val="32"/>
          <w:szCs w:val="32"/>
        </w:rPr>
        <w:t>，工作日上午9:00—12:00，下午2:00—6:00。</w:t>
      </w:r>
    </w:p>
    <w:p>
      <w:pPr>
        <w:spacing w:after="0" w:line="558" w:lineRule="exact"/>
        <w:ind w:firstLine="640" w:firstLineChars="200"/>
        <w:rPr>
          <w:rFonts w:eastAsia="仿宋_GB2312"/>
          <w:sz w:val="32"/>
          <w:szCs w:val="32"/>
        </w:rPr>
      </w:pPr>
      <w:r>
        <w:rPr>
          <w:rFonts w:hint="eastAsia" w:eastAsia="仿宋_GB2312"/>
          <w:sz w:val="32"/>
          <w:szCs w:val="32"/>
        </w:rPr>
        <w:t>技术支持：</w:t>
      </w:r>
    </w:p>
    <w:p>
      <w:pPr>
        <w:spacing w:after="0" w:line="558"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58"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5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F62F2"/>
    <w:rsid w:val="00110152"/>
    <w:rsid w:val="001145E7"/>
    <w:rsid w:val="00161422"/>
    <w:rsid w:val="00161CCE"/>
    <w:rsid w:val="002618DC"/>
    <w:rsid w:val="002838D9"/>
    <w:rsid w:val="00340C1E"/>
    <w:rsid w:val="00360EF1"/>
    <w:rsid w:val="00395968"/>
    <w:rsid w:val="00457B4D"/>
    <w:rsid w:val="0049335F"/>
    <w:rsid w:val="00567039"/>
    <w:rsid w:val="006A1513"/>
    <w:rsid w:val="006D0140"/>
    <w:rsid w:val="00710378"/>
    <w:rsid w:val="007B57B2"/>
    <w:rsid w:val="007D2450"/>
    <w:rsid w:val="00844BDB"/>
    <w:rsid w:val="00881ED5"/>
    <w:rsid w:val="008E2002"/>
    <w:rsid w:val="00900A14"/>
    <w:rsid w:val="00923A77"/>
    <w:rsid w:val="00941B06"/>
    <w:rsid w:val="0098077A"/>
    <w:rsid w:val="00A3406B"/>
    <w:rsid w:val="00AA01EF"/>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BA0402"/>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DB1DA3"/>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6C6E9B"/>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7FF213C"/>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AFB472A"/>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5F7519"/>
    <w:rsid w:val="3FBC30E1"/>
    <w:rsid w:val="3FD009E6"/>
    <w:rsid w:val="3FD3067D"/>
    <w:rsid w:val="3FD4707F"/>
    <w:rsid w:val="3FFD57FE"/>
    <w:rsid w:val="40945F74"/>
    <w:rsid w:val="409D6C96"/>
    <w:rsid w:val="40A50B34"/>
    <w:rsid w:val="40C0750A"/>
    <w:rsid w:val="40C23D15"/>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3C4C15"/>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DE589D"/>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7E2929"/>
    <w:rsid w:val="5F8D1C46"/>
    <w:rsid w:val="5FAFA100"/>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7EE7E"/>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B63979"/>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7FE3C1"/>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DF9FD9"/>
    <w:rsid w:val="7BE71A21"/>
    <w:rsid w:val="7BF87E00"/>
    <w:rsid w:val="7C064DA7"/>
    <w:rsid w:val="7C0A2379"/>
    <w:rsid w:val="7C551636"/>
    <w:rsid w:val="7C5F3CF1"/>
    <w:rsid w:val="7C697AB1"/>
    <w:rsid w:val="7CB460B3"/>
    <w:rsid w:val="7CD445C4"/>
    <w:rsid w:val="7CED17F8"/>
    <w:rsid w:val="7CF17B62"/>
    <w:rsid w:val="7D227A3A"/>
    <w:rsid w:val="7D274421"/>
    <w:rsid w:val="7D3D452B"/>
    <w:rsid w:val="7D957EE1"/>
    <w:rsid w:val="7DFC4CA2"/>
    <w:rsid w:val="7E137B54"/>
    <w:rsid w:val="7E4E0E62"/>
    <w:rsid w:val="7E503B32"/>
    <w:rsid w:val="7E6B7B24"/>
    <w:rsid w:val="7E757D8F"/>
    <w:rsid w:val="7E782A8A"/>
    <w:rsid w:val="7EF5F0E0"/>
    <w:rsid w:val="7EFFFA7B"/>
    <w:rsid w:val="7FC14E2C"/>
    <w:rsid w:val="7FFB8B28"/>
    <w:rsid w:val="7FFFCBD1"/>
    <w:rsid w:val="978C23A5"/>
    <w:rsid w:val="97EE3509"/>
    <w:rsid w:val="9DFEB259"/>
    <w:rsid w:val="9F6F6015"/>
    <w:rsid w:val="BEFE81B6"/>
    <w:rsid w:val="C27AE4C9"/>
    <w:rsid w:val="C7DB93C8"/>
    <w:rsid w:val="DD7E7DC7"/>
    <w:rsid w:val="DEF5E07B"/>
    <w:rsid w:val="DFF155E7"/>
    <w:rsid w:val="EBEFC481"/>
    <w:rsid w:val="EFEEB9E2"/>
    <w:rsid w:val="F55FDB79"/>
    <w:rsid w:val="F5DBA8FA"/>
    <w:rsid w:val="F77ABAC0"/>
    <w:rsid w:val="F91FC6CE"/>
    <w:rsid w:val="FDEF8289"/>
    <w:rsid w:val="FEF95E9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8"/>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5">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6">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character" w:customStyle="1" w:styleId="17">
    <w:name w:val="批注文字 字符"/>
    <w:basedOn w:val="9"/>
    <w:link w:val="2"/>
    <w:qFormat/>
    <w:uiPriority w:val="0"/>
    <w:rPr>
      <w:kern w:val="2"/>
      <w:sz w:val="21"/>
      <w:szCs w:val="24"/>
    </w:rPr>
  </w:style>
  <w:style w:type="character" w:customStyle="1" w:styleId="18">
    <w:name w:val="批注主题 字符"/>
    <w:basedOn w:val="17"/>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2214</Words>
  <Characters>2455</Characters>
  <Lines>17</Lines>
  <Paragraphs>5</Paragraphs>
  <TotalTime>1</TotalTime>
  <ScaleCrop>false</ScaleCrop>
  <LinksUpToDate>false</LinksUpToDate>
  <CharactersWithSpaces>2455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2019-08-18T14:54:00Z</dcterms:created>
  <dc:creator>zkk</dc:creator>
  <cp:lastModifiedBy>BDA</cp:lastModifiedBy>
  <cp:lastPrinted>2020-03-28T11:03:00Z</cp:lastPrinted>
  <dcterms:modified xsi:type="dcterms:W3CDTF">2025-03-05T12:13:52Z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eyJoZGlkIjoiZmRiZjNjZDEzYWJlODQ5ZTcyZjk0MDY2YTgyNTRlMzAiLCJ1c2VySWQiOiIyNTczMzg5MjQifQ==</vt:lpwstr>
  </property>
</Properties>
</file>