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CB35" w14:textId="77777777" w:rsidR="00EA2DAA" w:rsidRDefault="0000000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关于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  <w:t>北京城市副中心建筑业</w:t>
      </w:r>
    </w:p>
    <w:p w14:paraId="55AEF6CE" w14:textId="24D48194" w:rsidR="00A249E1" w:rsidRDefault="00000000">
      <w:pPr>
        <w:widowControl/>
        <w:shd w:val="clear" w:color="auto" w:fill="FFFFFF"/>
        <w:spacing w:line="600" w:lineRule="exact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  <w:t>高质量发展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的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  <w:t>实施细则</w:t>
      </w:r>
    </w:p>
    <w:p w14:paraId="343F1E65" w14:textId="77777777" w:rsidR="00A249E1" w:rsidRDefault="00A249E1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</w:p>
    <w:p w14:paraId="464C8369" w14:textId="77777777" w:rsidR="00A249E1" w:rsidRDefault="0000000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t>第一章 总则</w:t>
      </w:r>
    </w:p>
    <w:p w14:paraId="0FEF1B6C" w14:textId="77777777" w:rsidR="00A249E1" w:rsidRDefault="0000000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第一条 背景依据。</w:t>
      </w:r>
      <w:r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为贯彻落实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《国务院关于支持北京城市副中心高质量发展的意见》</w:t>
      </w:r>
      <w:r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，加快建筑产业发展与转型升级，优化产业结构，持续提升我区建筑业综合实力和竞争力，特制定本细则。</w:t>
      </w:r>
    </w:p>
    <w:p w14:paraId="07F9DAA8" w14:textId="77777777" w:rsidR="00A249E1" w:rsidRDefault="0000000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第二条 鼓励原则。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通过政策扶持、资金奖励等手段，引导建筑企业积极转型升级、提升技术创新能力、拓展市场、优化产业结构，实现副中心建筑业高质量发展。</w:t>
      </w:r>
    </w:p>
    <w:p w14:paraId="3E913FCD" w14:textId="77777777" w:rsidR="00A249E1" w:rsidRDefault="0000000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第三条 支持对象。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本细则支持对象为符合北京城市副中心功能定位的建筑业企业。有下列情形之一的，不予支持：</w:t>
      </w:r>
    </w:p>
    <w:p w14:paraId="3CDFEB20" w14:textId="0AA0DF50" w:rsidR="00531B7F" w:rsidRDefault="0000000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1. </w:t>
      </w:r>
      <w:r w:rsidR="00531B7F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3年内发生由</w:t>
      </w:r>
      <w:r w:rsidR="00531B7F" w:rsidRPr="00531B7F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国务院安委会挂牌督办</w:t>
      </w:r>
      <w:r w:rsidR="00531B7F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的重大生产安全事故；</w:t>
      </w:r>
    </w:p>
    <w:p w14:paraId="4FBD0B2C" w14:textId="2E310CE6" w:rsidR="00A249E1" w:rsidRDefault="00531B7F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2. 被列入</w:t>
      </w:r>
      <w:r w:rsidRPr="00531B7F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严重违法失信企业名单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、</w:t>
      </w:r>
      <w:r w:rsidRPr="00531B7F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拖欠农民工工资失信联合惩戒对象名单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等联合惩戒名单；</w:t>
      </w:r>
    </w:p>
    <w:p w14:paraId="3B90F09B" w14:textId="6DB9C3FE" w:rsidR="00A249E1" w:rsidRDefault="00531B7F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3. 法律、法规和规章明确规定不予支持的其他情形。</w:t>
      </w:r>
    </w:p>
    <w:p w14:paraId="67786079" w14:textId="77777777" w:rsidR="00A249E1" w:rsidRDefault="0000000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t>第二章 构筑企业梯次培育体系</w:t>
      </w:r>
    </w:p>
    <w:p w14:paraId="276ECFAB" w14:textId="6EEC9A55" w:rsidR="00A249E1" w:rsidRDefault="0000000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第四条 鼓励企业纵深发展。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对企业</w:t>
      </w:r>
      <w:r w:rsidR="003673B3" w:rsidRPr="003673B3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综合规模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达到1000亿级、500亿级、100亿级、50亿级且不低于上年同期的建筑业企业，分别最高支持100万元、50万元、20万元和10万元奖励。</w:t>
      </w:r>
    </w:p>
    <w:p w14:paraId="0796B004" w14:textId="77777777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lastRenderedPageBreak/>
        <w:t>第五条 鼓励企业向外拓展。</w:t>
      </w:r>
      <w:r>
        <w:rPr>
          <w:rFonts w:ascii="仿宋_GB2312" w:eastAsia="仿宋_GB2312" w:hAnsi="微软雅黑" w:cs="仿宋_GB2312" w:hint="eastAsia"/>
          <w:color w:val="404040"/>
          <w:kern w:val="0"/>
          <w:sz w:val="32"/>
          <w:szCs w:val="32"/>
          <w:shd w:val="clear" w:color="auto" w:fill="FFFFFF"/>
          <w:lang w:bidi="ar"/>
        </w:rPr>
        <w:t>强化市场运作、政府引导，由区建筑业联合会推动建筑业产业联盟组建，细分各行业与领域，集中优势资源与技术能力，积极向外开拓市场，推动设计、施工、技术和服务输出。</w:t>
      </w:r>
    </w:p>
    <w:p w14:paraId="58AEA8E0" w14:textId="2099D8D1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第六条 鼓励企业优化提升。</w:t>
      </w:r>
      <w:bookmarkStart w:id="0" w:name="_Hlk190264132"/>
      <w:r w:rsidRPr="003673B3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对</w:t>
      </w:r>
      <w:r w:rsidR="00585FFB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新增</w:t>
      </w:r>
      <w:r w:rsidRPr="003673B3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特级资质建筑企业，最高支持1000万元，支持资金分三年完成兑现。对</w:t>
      </w:r>
      <w:r w:rsidR="00585FFB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新增</w:t>
      </w:r>
      <w:r w:rsidRPr="003673B3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总承包一级资质建筑企业，</w:t>
      </w:r>
      <w:r w:rsidRPr="003673B3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最高</w:t>
      </w:r>
      <w:r w:rsidRPr="003673B3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支持200万元，对</w:t>
      </w:r>
      <w:r w:rsidR="00585FFB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新增</w:t>
      </w:r>
      <w:r w:rsidRPr="003673B3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专业承包一级资质建筑企业，</w:t>
      </w:r>
      <w:r w:rsidRPr="003673B3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最高</w:t>
      </w:r>
      <w:r w:rsidRPr="003673B3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支持100万元。</w:t>
      </w:r>
    </w:p>
    <w:bookmarkEnd w:id="0"/>
    <w:p w14:paraId="15CDEE29" w14:textId="77777777" w:rsidR="00A249E1" w:rsidRDefault="0000000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t>第三章 优化副中心建筑产业结构</w:t>
      </w:r>
    </w:p>
    <w:p w14:paraId="62075335" w14:textId="698BB211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 w:rsidR="003673B3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七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条 保障中小企业稳步发展。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给予中小企业开放应用场景资源，保障中小建筑企业平等进入工程建设领域。加大金融服务实体经济支持力度，切实减轻企业负担，给予中小建筑企业融资支持。在政府采购等方面，全面落实支持中小建筑企业发展的各项政策措施。</w:t>
      </w:r>
    </w:p>
    <w:p w14:paraId="5D72946C" w14:textId="0BE74CD4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 w:rsidR="003673B3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八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条 推动建筑业京津冀一体化。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抓好京津冀一体化发展契机，推进三地协作与联合，将副中心建筑产能优势与技术优势推广到三地项目中，开展技术研发与项目交流，推动成果转换。</w:t>
      </w:r>
    </w:p>
    <w:p w14:paraId="52E9C07D" w14:textId="66B38FEE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 w:rsidR="003673B3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九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条 培育紧缺资质企业。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积极引进施工总承包特级、一级资质企业，</w:t>
      </w:r>
      <w:r w:rsidRPr="00054C85">
        <w:rPr>
          <w:rFonts w:ascii="仿宋_GB2312" w:eastAsia="仿宋_GB2312" w:hAnsi="微软雅黑" w:cs="仿宋_GB2312" w:hint="eastAsia"/>
          <w:kern w:val="0"/>
          <w:sz w:val="32"/>
          <w:szCs w:val="32"/>
          <w:lang w:bidi="ar"/>
        </w:rPr>
        <w:t>重点引进具有公路、铁路、水利水电、电力、通信施工总承包和环保、桥梁、隧道、钢结构工程专业承包一级资质的企业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，进一步优化建筑业产业结构。</w:t>
      </w:r>
    </w:p>
    <w:p w14:paraId="38606D79" w14:textId="77777777" w:rsidR="00A249E1" w:rsidRDefault="0000000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t>第四章 推广副中心建筑场景应用</w:t>
      </w:r>
    </w:p>
    <w:p w14:paraId="10034980" w14:textId="11A58C35" w:rsidR="00A249E1" w:rsidRDefault="00000000">
      <w:pPr>
        <w:widowControl/>
        <w:shd w:val="clear" w:color="auto" w:fill="FFFFFF"/>
        <w:spacing w:line="600" w:lineRule="exact"/>
        <w:ind w:firstLineChars="200"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lastRenderedPageBreak/>
        <w:t>第十条 支持全域场景应用。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以推动场景资源开放、提升场景创新能力为方向，加大建筑企业在全区全域场景项目中的应用示范。以应用场景招商育商，充分向建筑企业释放全领域场景机会，以优质场景支持企业发展。</w:t>
      </w:r>
    </w:p>
    <w:p w14:paraId="5D50FFE2" w14:textId="0C0378D4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第十</w:t>
      </w:r>
      <w:r w:rsidR="003673B3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一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条 鼓励打造优质工程。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鼓励企业创优创先，发挥精品工程示范作用，对未使用财政资金、新获得鲁班奖及其他经认定同等级奖项的项目，按项目最高给予施工总承包单位50万元奖励。</w:t>
      </w:r>
    </w:p>
    <w:p w14:paraId="19FD6F1C" w14:textId="77777777" w:rsidR="00A249E1" w:rsidRDefault="0000000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t>第五章 大力发展新质生产力</w:t>
      </w:r>
    </w:p>
    <w:p w14:paraId="594C9908" w14:textId="162F6C9F" w:rsidR="00A249E1" w:rsidRDefault="00000000">
      <w:pPr>
        <w:widowControl/>
        <w:spacing w:line="600" w:lineRule="exact"/>
        <w:ind w:firstLineChars="200"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第十</w:t>
      </w:r>
      <w:r w:rsidR="003673B3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条 加强项目示范引领。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对新建高标准超低能耗建筑、一般超低能耗建筑，分别按照不超过200元/平方米、100元/平方米给予建设单位补贴，单个示范项目最高支持300万元。对其他新技术创新应用项目经研究后给予一定建设补贴。</w:t>
      </w:r>
    </w:p>
    <w:p w14:paraId="0895DB3F" w14:textId="508E6999" w:rsidR="00A249E1" w:rsidRDefault="00000000">
      <w:pPr>
        <w:widowControl/>
        <w:shd w:val="clear" w:color="auto" w:fill="FFFFFF"/>
        <w:spacing w:line="600" w:lineRule="exact"/>
        <w:ind w:firstLine="643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第十</w:t>
      </w:r>
      <w:r w:rsidR="003673B3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三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条 支持企业创新发展。</w:t>
      </w:r>
      <w:r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以场景创新串联科创资源与产业集群，为智能建造、绿色建筑等产业创新技术产品提供验证应用机会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，给予</w:t>
      </w:r>
      <w:r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  <w:lang w:bidi="ar"/>
        </w:rPr>
        <w:t>全领域场景资源开放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，逐步形成建筑产业新质生产力。</w:t>
      </w:r>
    </w:p>
    <w:p w14:paraId="590D6C90" w14:textId="468ECA42" w:rsidR="00A249E1" w:rsidRPr="00EB0BAC" w:rsidRDefault="00000000" w:rsidP="00EB0BAC">
      <w:pPr>
        <w:widowControl/>
        <w:spacing w:line="600" w:lineRule="exact"/>
        <w:ind w:firstLineChars="200" w:firstLine="640"/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</w:pPr>
      <w:bookmarkStart w:id="1" w:name="OLE_LINK1"/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本细则自发布之日起施行，</w:t>
      </w:r>
      <w:r w:rsidR="00814A0A" w:rsidRPr="00814A0A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有效期</w:t>
      </w:r>
      <w:r w:rsidR="00814A0A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截至</w:t>
      </w:r>
      <w:r w:rsidR="00814A0A" w:rsidRPr="00814A0A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2027年12月31日，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  <w:lang w:bidi="ar"/>
        </w:rPr>
        <w:t>相关条款与通州区其他涉企政策条款从优不重复。本政策由通州区住房和城乡建设委员会负责解释，执行过程中，如遇相关政策调整，按最新政策执行。</w:t>
      </w:r>
      <w:bookmarkEnd w:id="1"/>
    </w:p>
    <w:sectPr w:rsidR="00A249E1" w:rsidRPr="00EB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C891" w14:textId="77777777" w:rsidR="00BE5A61" w:rsidRDefault="00BE5A61" w:rsidP="00EA2DAA">
      <w:r>
        <w:separator/>
      </w:r>
    </w:p>
  </w:endnote>
  <w:endnote w:type="continuationSeparator" w:id="0">
    <w:p w14:paraId="240A013B" w14:textId="77777777" w:rsidR="00BE5A61" w:rsidRDefault="00BE5A61" w:rsidP="00EA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180D" w14:textId="77777777" w:rsidR="00BE5A61" w:rsidRDefault="00BE5A61" w:rsidP="00EA2DAA">
      <w:r>
        <w:separator/>
      </w:r>
    </w:p>
  </w:footnote>
  <w:footnote w:type="continuationSeparator" w:id="0">
    <w:p w14:paraId="0A2BDD7F" w14:textId="77777777" w:rsidR="00BE5A61" w:rsidRDefault="00BE5A61" w:rsidP="00EA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28"/>
    <w:rsid w:val="00005C34"/>
    <w:rsid w:val="00017137"/>
    <w:rsid w:val="00021DAD"/>
    <w:rsid w:val="00054C85"/>
    <w:rsid w:val="0008192C"/>
    <w:rsid w:val="000A2C77"/>
    <w:rsid w:val="000C17CA"/>
    <w:rsid w:val="00110622"/>
    <w:rsid w:val="00112B91"/>
    <w:rsid w:val="00177A52"/>
    <w:rsid w:val="00224DA7"/>
    <w:rsid w:val="00243C1D"/>
    <w:rsid w:val="0030112E"/>
    <w:rsid w:val="00321F04"/>
    <w:rsid w:val="00341C45"/>
    <w:rsid w:val="00343B0F"/>
    <w:rsid w:val="003657CA"/>
    <w:rsid w:val="003673B3"/>
    <w:rsid w:val="003B1521"/>
    <w:rsid w:val="003C5C2D"/>
    <w:rsid w:val="003F481B"/>
    <w:rsid w:val="00441514"/>
    <w:rsid w:val="004775A2"/>
    <w:rsid w:val="00486876"/>
    <w:rsid w:val="004A5211"/>
    <w:rsid w:val="004C47CA"/>
    <w:rsid w:val="004C5FAD"/>
    <w:rsid w:val="004D48BA"/>
    <w:rsid w:val="004E1BFF"/>
    <w:rsid w:val="004E2EBA"/>
    <w:rsid w:val="005077B4"/>
    <w:rsid w:val="00531B7F"/>
    <w:rsid w:val="0055434E"/>
    <w:rsid w:val="00585FFB"/>
    <w:rsid w:val="005A494E"/>
    <w:rsid w:val="005B7536"/>
    <w:rsid w:val="005F2FAA"/>
    <w:rsid w:val="00603910"/>
    <w:rsid w:val="00607784"/>
    <w:rsid w:val="00623016"/>
    <w:rsid w:val="00626040"/>
    <w:rsid w:val="006354A0"/>
    <w:rsid w:val="0063789E"/>
    <w:rsid w:val="006431FA"/>
    <w:rsid w:val="00654EE3"/>
    <w:rsid w:val="00694F67"/>
    <w:rsid w:val="00703D91"/>
    <w:rsid w:val="00717E1E"/>
    <w:rsid w:val="00725458"/>
    <w:rsid w:val="00771CB0"/>
    <w:rsid w:val="007A7B5F"/>
    <w:rsid w:val="007E1056"/>
    <w:rsid w:val="00800964"/>
    <w:rsid w:val="00814A0A"/>
    <w:rsid w:val="00823736"/>
    <w:rsid w:val="00827352"/>
    <w:rsid w:val="00865D95"/>
    <w:rsid w:val="00886F3E"/>
    <w:rsid w:val="008A69EC"/>
    <w:rsid w:val="008B45A3"/>
    <w:rsid w:val="00933FFF"/>
    <w:rsid w:val="00934A31"/>
    <w:rsid w:val="009367FC"/>
    <w:rsid w:val="00952F22"/>
    <w:rsid w:val="00961361"/>
    <w:rsid w:val="009666BC"/>
    <w:rsid w:val="00976905"/>
    <w:rsid w:val="00983BD6"/>
    <w:rsid w:val="009F7D58"/>
    <w:rsid w:val="00A11FF4"/>
    <w:rsid w:val="00A223E8"/>
    <w:rsid w:val="00A249E1"/>
    <w:rsid w:val="00A55E16"/>
    <w:rsid w:val="00A70F41"/>
    <w:rsid w:val="00AA0960"/>
    <w:rsid w:val="00AC48A4"/>
    <w:rsid w:val="00B33051"/>
    <w:rsid w:val="00B36717"/>
    <w:rsid w:val="00BA0213"/>
    <w:rsid w:val="00BC3739"/>
    <w:rsid w:val="00BD52C0"/>
    <w:rsid w:val="00BE375C"/>
    <w:rsid w:val="00BE5A61"/>
    <w:rsid w:val="00C207EA"/>
    <w:rsid w:val="00C54689"/>
    <w:rsid w:val="00C726CE"/>
    <w:rsid w:val="00C761F2"/>
    <w:rsid w:val="00C8626A"/>
    <w:rsid w:val="00C9281B"/>
    <w:rsid w:val="00CC3069"/>
    <w:rsid w:val="00CC5034"/>
    <w:rsid w:val="00CE135C"/>
    <w:rsid w:val="00D2280E"/>
    <w:rsid w:val="00D843EB"/>
    <w:rsid w:val="00DC51D4"/>
    <w:rsid w:val="00DD459C"/>
    <w:rsid w:val="00DD602F"/>
    <w:rsid w:val="00DF45A6"/>
    <w:rsid w:val="00E86E01"/>
    <w:rsid w:val="00EA2DAA"/>
    <w:rsid w:val="00EB0BAC"/>
    <w:rsid w:val="00EC5C28"/>
    <w:rsid w:val="00F006C7"/>
    <w:rsid w:val="00F459AC"/>
    <w:rsid w:val="00F80DCC"/>
    <w:rsid w:val="00F8107F"/>
    <w:rsid w:val="00FD6658"/>
    <w:rsid w:val="00FE48EF"/>
    <w:rsid w:val="00FE6A69"/>
    <w:rsid w:val="0C560355"/>
    <w:rsid w:val="0F050CB6"/>
    <w:rsid w:val="20AD6764"/>
    <w:rsid w:val="24EE7D9B"/>
    <w:rsid w:val="26CB659D"/>
    <w:rsid w:val="3B260428"/>
    <w:rsid w:val="3C2E72CE"/>
    <w:rsid w:val="53FB2ED9"/>
    <w:rsid w:val="5A852D87"/>
    <w:rsid w:val="65DC2188"/>
    <w:rsid w:val="66AA6228"/>
    <w:rsid w:val="675F426D"/>
    <w:rsid w:val="6FF7437C"/>
    <w:rsid w:val="779421D7"/>
    <w:rsid w:val="78D23A80"/>
    <w:rsid w:val="7C4966C4"/>
    <w:rsid w:val="7D2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DFDB5"/>
  <w15:docId w15:val="{EE84C506-E8DE-4AC0-975C-0125390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F7B5-1D69-4A7C-A059-1960EE47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l'y</dc:creator>
  <cp:lastModifiedBy>878739609@qq.com</cp:lastModifiedBy>
  <cp:revision>6</cp:revision>
  <cp:lastPrinted>2024-12-25T06:22:00Z</cp:lastPrinted>
  <dcterms:created xsi:type="dcterms:W3CDTF">2025-02-10T11:38:00Z</dcterms:created>
  <dcterms:modified xsi:type="dcterms:W3CDTF">2025-02-17T07:34:00Z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800C4EAF227E49B4A7BFE0B3AF1D439B_13</vt:lpwstr>
  </property>
  <property fmtid="{D5CDD505-2E9C-101B-9397-08002B2CF9AE}" pid="4" name="KSOTemplateDocerSaveRecord">
    <vt:lpwstr>eyJoZGlkIjoiMDY4NTBmODg1YTNjMTFlNmZhN2M3ZTdiM2JlNWYxNzAifQ==</vt:lpwstr>
  </property>
</Properties>
</file>