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昌平区2025年优化营商环境“宜商十条”</w:t>
      </w:r>
    </w:p>
    <w:p>
      <w:pPr>
        <w:numPr>
          <w:ilvl w:val="255"/>
          <w:numId w:val="0"/>
        </w:numPr>
        <w:spacing w:after="0"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（审议稿）</w:t>
      </w:r>
    </w:p>
    <w:p>
      <w:pPr>
        <w:pStyle w:val="5"/>
        <w:spacing w:after="0"/>
        <w:ind w:firstLine="0" w:firstLineChars="0"/>
        <w:rPr>
          <w:rFonts w:hint="eastAsia" w:ascii="楷体_GB2312" w:hAnsi="楷体_GB2312" w:eastAsia="楷体_GB2312" w:cs="楷体_GB2312"/>
          <w:szCs w:val="32"/>
        </w:rPr>
      </w:pPr>
    </w:p>
    <w:p>
      <w:pPr>
        <w:pStyle w:val="5"/>
        <w:spacing w:after="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2025年</w:t>
      </w:r>
      <w:r>
        <w:rPr>
          <w:rFonts w:hint="eastAsia" w:ascii="Times New Roman" w:hAnsi="Times New Roman" w:eastAsia="仿宋_GB2312" w:cs="Times New Roman"/>
          <w:szCs w:val="32"/>
        </w:rPr>
        <w:t>，昌平区深入贯彻落实党中央、国务院关于优化营商环境的决策部署及市委、市政府工作要求，完整准确全面贯彻新发展理念，立足国际一流现代化新城定位，持续擦亮“昌通办”“昌快干”品牌，为“北京服务”提供昌平实践，以“企业最有感”的营商环境赋能平原新城高质量发展。</w:t>
      </w:r>
    </w:p>
    <w:p>
      <w:pPr>
        <w:pStyle w:val="5"/>
        <w:spacing w:after="0"/>
        <w:rPr>
          <w:rFonts w:hint="eastAsia" w:ascii="黑体" w:hAnsi="黑体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一、完善“触发式”的惠企政策快享机制</w:t>
      </w:r>
    </w:p>
    <w:p>
      <w:pPr>
        <w:spacing w:after="0"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</w:rPr>
        <w:t>推进惠企政策“明盒”，避免企业拆政策“盲盒”。打造首款集智能问答和“政策计算器”功能于一体的惠企政策宣传小程序，实现市区两级惠企政策精准推送、关联推荐，帮助企业计算可获得的资金支持额度，破解政策“找不着、看不懂、用不上”难题。（</w:t>
      </w:r>
      <w:r>
        <w:rPr>
          <w:rFonts w:hint="eastAsia" w:ascii="楷体_GB2312" w:hAnsi="仿宋_GB2312" w:eastAsia="楷体_GB2312" w:cs="仿宋_GB2312"/>
          <w:sz w:val="32"/>
        </w:rPr>
        <w:t>主责单位：区发展改革委</w:t>
      </w:r>
      <w:r>
        <w:rPr>
          <w:rFonts w:hint="eastAsia" w:ascii="仿宋_GB2312" w:hAnsi="仿宋_GB2312" w:eastAsia="仿宋_GB2312" w:cs="仿宋_GB2312"/>
          <w:sz w:val="32"/>
        </w:rPr>
        <w:t>）拓展政策兑现综合服务平台应用，推广“京策”平台惠企政策发布及申报兑现等一体化功能的适用范围，统一区内惠企政策申报兑现渠道，提效政策兑现。（</w:t>
      </w:r>
      <w:r>
        <w:rPr>
          <w:rFonts w:hint="eastAsia" w:ascii="楷体_GB2312" w:hAnsi="仿宋_GB2312" w:eastAsia="楷体_GB2312" w:cs="仿宋_GB2312"/>
          <w:sz w:val="32"/>
        </w:rPr>
        <w:t>主责单位：区政务和数据局</w:t>
      </w:r>
      <w:r>
        <w:rPr>
          <w:rFonts w:hint="eastAsia" w:ascii="仿宋_GB2312" w:hAnsi="仿宋_GB2312" w:eastAsia="仿宋_GB2312" w:cs="仿宋_GB2312"/>
          <w:sz w:val="32"/>
        </w:rPr>
        <w:t>）优化一网通办惠企政策精准服务平台拓展政策“免申即享 ”“ 直达快享”“达标即享”覆盖面。实施新一轮重点企业“触达计划”，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力争“零温差”触达企业。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楷体_GB2312" w:hAnsi="仿宋_GB2312" w:eastAsia="楷体_GB2312" w:cs="仿宋_GB2312"/>
          <w:sz w:val="32"/>
        </w:rPr>
        <w:t>主责单位：区财政局</w:t>
      </w:r>
      <w:r>
        <w:rPr>
          <w:rFonts w:hint="eastAsia" w:ascii="仿宋_GB2312" w:hAnsi="仿宋_GB2312" w:eastAsia="仿宋_GB2312" w:cs="仿宋_GB2312"/>
          <w:sz w:val="32"/>
        </w:rPr>
        <w:t>）</w:t>
      </w:r>
    </w:p>
    <w:p>
      <w:pPr>
        <w:pStyle w:val="5"/>
        <w:spacing w:after="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楷体_GB2312"/>
          <w:szCs w:val="32"/>
        </w:rPr>
        <w:t>二、建立“全闭环”的企业诉求响应模式</w:t>
      </w:r>
      <w:r>
        <w:rPr>
          <w:rFonts w:ascii="仿宋_GB2312" w:hAnsi="仿宋_GB2312" w:eastAsia="仿宋_GB2312" w:cs="仿宋_GB2312"/>
        </w:rPr>
        <w:t xml:space="preserve"> </w:t>
      </w:r>
    </w:p>
    <w:p>
      <w:pPr>
        <w:pStyle w:val="5"/>
        <w:widowControl/>
        <w:spacing w:after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全面上线北京昌平-企业“直通车”模块，依托财源建设智慧系统优化服务模式，打通政企双向沟通渠道，实现企业诉求实时收集、相关政府部门事项及时推送和快速应答，提升对企服务能级。</w:t>
      </w:r>
      <w:r>
        <w:rPr>
          <w:rFonts w:hint="eastAsia" w:ascii="仿宋_GB2312" w:hAnsi="仿宋_GB2312" w:eastAsia="仿宋_GB2312" w:cs="仿宋_GB2312"/>
          <w:szCs w:val="40"/>
        </w:rPr>
        <w:t>（</w:t>
      </w:r>
      <w:r>
        <w:rPr>
          <w:rFonts w:hint="eastAsia" w:ascii="楷体_GB2312" w:hAnsi="楷体_GB2312" w:eastAsia="楷体_GB2312" w:cs="楷体_GB2312"/>
          <w:szCs w:val="32"/>
        </w:rPr>
        <w:t>主责单位：区财政局</w:t>
      </w:r>
      <w:r>
        <w:rPr>
          <w:rFonts w:hint="eastAsia" w:ascii="仿宋_GB2312" w:hAnsi="仿宋_GB2312" w:eastAsia="仿宋_GB2312" w:cs="仿宋_GB2312"/>
          <w:szCs w:val="40"/>
        </w:rPr>
        <w:t>）</w:t>
      </w:r>
      <w:r>
        <w:rPr>
          <w:rFonts w:hint="eastAsia" w:ascii="仿宋_GB2312" w:hAnsi="仿宋_GB2312" w:eastAsia="仿宋_GB2312" w:cs="仿宋_GB2312"/>
        </w:rPr>
        <w:t>完善企业“服务包”机制，优化</w:t>
      </w:r>
      <w:r>
        <w:rPr>
          <w:rFonts w:hint="eastAsia" w:ascii="仿宋_GB2312" w:hAnsi="仿宋_GB2312" w:eastAsia="仿宋_GB2312" w:cs="仿宋_GB2312"/>
          <w:szCs w:val="40"/>
        </w:rPr>
        <w:t>区级诉求平台，</w:t>
      </w:r>
      <w:r>
        <w:rPr>
          <w:rFonts w:hint="eastAsia" w:ascii="仿宋_GB2312" w:hAnsi="仿宋_GB2312" w:eastAsia="仿宋_GB2312" w:cs="仿宋_GB2312"/>
          <w:szCs w:val="32"/>
        </w:rPr>
        <w:t>构建企业诉求接收、分派、解决的闭环机制，全面提升诉求办理质效。</w:t>
      </w:r>
      <w:r>
        <w:rPr>
          <w:rFonts w:hint="eastAsia" w:ascii="仿宋_GB2312" w:hAnsi="仿宋_GB2312" w:eastAsia="仿宋_GB2312" w:cs="仿宋_GB2312"/>
          <w:szCs w:val="40"/>
        </w:rPr>
        <w:t>（</w:t>
      </w:r>
      <w:r>
        <w:rPr>
          <w:rFonts w:hint="eastAsia" w:ascii="楷体_GB2312" w:hAnsi="楷体_GB2312" w:eastAsia="楷体_GB2312" w:cs="楷体_GB2312"/>
          <w:szCs w:val="32"/>
        </w:rPr>
        <w:t>主责单位：区发展改革委</w:t>
      </w:r>
      <w:r>
        <w:rPr>
          <w:rFonts w:hint="eastAsia" w:ascii="仿宋_GB2312" w:hAnsi="仿宋_GB2312" w:eastAsia="仿宋_GB2312" w:cs="仿宋_GB2312"/>
          <w:szCs w:val="40"/>
        </w:rPr>
        <w:t>）</w:t>
      </w:r>
      <w:r>
        <w:rPr>
          <w:rFonts w:hint="eastAsia" w:ascii="仿宋_GB2312" w:hAnsi="仿宋_GB2312" w:eastAsia="仿宋_GB2312" w:cs="仿宋_GB2312"/>
          <w:szCs w:val="32"/>
          <w:lang w:bidi="ar"/>
        </w:rPr>
        <w:t>围绕“找资本、拓市场、募人才”三大主线，</w:t>
      </w:r>
      <w:r>
        <w:rPr>
          <w:rFonts w:hint="eastAsia" w:ascii="仿宋_GB2312" w:hAnsi="仿宋_GB2312" w:eastAsia="仿宋_GB2312" w:cs="仿宋_GB2312"/>
          <w:szCs w:val="32"/>
        </w:rPr>
        <w:t>组织不少于20场主题活动，加强政企、企企、银企间沟通对接，为企业提供产品宣传、应用场景合作的渠道，推动大型试验设施设备开放共享。探索“政府+平台企业+前沿技术”组团出海新模式，助力创新药品器械“走出去”。</w:t>
      </w:r>
      <w:r>
        <w:rPr>
          <w:rFonts w:hint="eastAsia" w:ascii="楷体_GB2312" w:hAnsi="楷体_GB2312" w:eastAsia="楷体_GB2312" w:cs="楷体_GB2312"/>
          <w:szCs w:val="32"/>
        </w:rPr>
        <w:t>（主责单位：区发展改革委、未来科学城管委会、科技园区管委会、区商务局、区投促中心）</w:t>
      </w:r>
      <w:r>
        <w:rPr>
          <w:rFonts w:hint="eastAsia" w:ascii="仿宋_GB2312" w:hAnsi="仿宋_GB2312" w:eastAsia="仿宋_GB2312" w:cs="仿宋_GB2312"/>
          <w:szCs w:val="32"/>
        </w:rPr>
        <w:t>落实拖欠中小企业账款投诉处理工作机制，采取摸排建账、跟踪督办、专题调度等措施，及时消除苗头倾向，解决拖欠账款问题。</w:t>
      </w:r>
      <w:r>
        <w:rPr>
          <w:rFonts w:hint="eastAsia" w:ascii="楷体_GB2312" w:hAnsi="楷体_GB2312" w:eastAsia="楷体_GB2312" w:cs="楷体_GB2312"/>
          <w:szCs w:val="32"/>
        </w:rPr>
        <w:t>（主责单位：区经济和信息化局）</w:t>
      </w:r>
    </w:p>
    <w:p>
      <w:pPr>
        <w:pStyle w:val="5"/>
        <w:spacing w:after="0"/>
        <w:rPr>
          <w:rFonts w:hint="eastAsia" w:ascii="楷体_GB2312" w:hAnsi="楷体_GB2312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三、健全“增值式”的政务服务体系</w:t>
      </w:r>
    </w:p>
    <w:p>
      <w:pPr>
        <w:pStyle w:val="15"/>
        <w:spacing w:after="0"/>
      </w:pPr>
      <w:r>
        <w:rPr>
          <w:rFonts w:hint="eastAsia" w:ascii="仿宋_GB2312" w:hAnsi="仿宋_GB2312" w:cs="仿宋_GB2312"/>
        </w:rPr>
        <w:t>深化拓展“一件事”集成服务场景，聚焦高频事项创新推出实施6个昌平“协同办主题事项”，实现办事方式更加多元、便利、优化。创新“证照联办”服务模式，将“证照联办”从企业开办逐步扩大至企业变更、注销，实现“一设即设、一变即变、一销即销”。（</w:t>
      </w:r>
      <w:r>
        <w:rPr>
          <w:rFonts w:hint="eastAsia" w:ascii="楷体_GB2312" w:hAnsi="仿宋_GB2312" w:eastAsia="楷体_GB2312" w:cs="仿宋_GB2312"/>
        </w:rPr>
        <w:t>主责单位：区政务和数据局</w:t>
      </w:r>
      <w:r>
        <w:rPr>
          <w:rFonts w:hint="eastAsia" w:ascii="仿宋_GB2312" w:hAnsi="仿宋_GB2312" w:cs="仿宋_GB2312"/>
        </w:rPr>
        <w:t>）进一步提升办税缴费便利化水平，实现99%以上税费服务事项“全程网办”。推进办税服务厅转型升级，转变前台服务职能，配齐中台服务资源，强化后台服务能力。（</w:t>
      </w:r>
      <w:r>
        <w:rPr>
          <w:rFonts w:hint="eastAsia" w:ascii="楷体_GB2312" w:hAnsi="仿宋_GB2312" w:eastAsia="楷体_GB2312" w:cs="仿宋_GB2312"/>
        </w:rPr>
        <w:t>主责单位：区税务局</w:t>
      </w:r>
      <w:r>
        <w:rPr>
          <w:rFonts w:hint="eastAsia" w:ascii="仿宋_GB2312" w:hAnsi="仿宋_GB2312" w:cs="仿宋_GB2312"/>
        </w:rPr>
        <w:t>）加强科技赋能，对于采取分层供地方式的项目，创新推动“三维地籍调查+分层登记”，提升确权登记工作效率。深化落实工程建设项目“多测合一”改革，在土地、房屋地籍调查及首次登记等环节实现测绘成果线上共享，压缩审批时限，减轻企业负担。（</w:t>
      </w:r>
      <w:r>
        <w:rPr>
          <w:rFonts w:hint="eastAsia" w:ascii="楷体_GB2312" w:hAnsi="仿宋_GB2312" w:eastAsia="楷体_GB2312" w:cs="仿宋_GB2312"/>
        </w:rPr>
        <w:t>主责单位：市规自委昌平分局</w:t>
      </w:r>
      <w:r>
        <w:rPr>
          <w:rFonts w:hint="eastAsia" w:ascii="仿宋_GB2312" w:hAnsi="仿宋_GB2312" w:cs="仿宋_GB2312"/>
        </w:rPr>
        <w:t>）积极推进建设工程联合验收，大力贯彻产业项目实行分期验收，一体推进竣工验收和消防验收的融合，助力项目顺利通过联合验收，不断提高企业的获得感和满意度。</w:t>
      </w:r>
      <w:r>
        <w:rPr>
          <w:rFonts w:hint="eastAsia" w:ascii="楷体_GB2312" w:hAnsi="楷体_GB2312" w:eastAsia="楷体_GB2312" w:cs="楷体_GB2312"/>
        </w:rPr>
        <w:t>（主责单位：区住房城乡建设委）</w:t>
      </w:r>
      <w:r>
        <w:rPr>
          <w:rFonts w:hint="eastAsia" w:ascii="仿宋_GB2312" w:hAnsi="仿宋_GB2312" w:cs="仿宋_GB2312"/>
        </w:rPr>
        <w:t>推广全市首家市、区两级共建劳动关系三方服务站，构建劳动关系、企业发展、职工福祉“全链条”服务体系。推进工资支付监控预警，联合相关成员单位妥善处置极端或群体性讨薪事件及重大欠薪舆情。（</w:t>
      </w:r>
      <w:r>
        <w:rPr>
          <w:rFonts w:hint="eastAsia" w:ascii="楷体_GB2312" w:hAnsi="楷体_GB2312" w:eastAsia="楷体_GB2312" w:cs="楷体_GB2312"/>
          <w:szCs w:val="32"/>
        </w:rPr>
        <w:t>主责单位：区人力社保局</w:t>
      </w:r>
      <w:r>
        <w:rPr>
          <w:rFonts w:hint="eastAsia" w:ascii="仿宋_GB2312" w:hAnsi="仿宋_GB2312" w:cs="仿宋_GB2312"/>
        </w:rPr>
        <w:t>）持续推进“远程异地评标”工作，助力交易流程更加公平、公正，提高评标质量和效率。（</w:t>
      </w:r>
      <w:r>
        <w:rPr>
          <w:rFonts w:hint="eastAsia" w:ascii="楷体_GB2312" w:hAnsi="楷体_GB2312" w:eastAsia="楷体_GB2312" w:cs="楷体_GB2312"/>
          <w:szCs w:val="32"/>
        </w:rPr>
        <w:t>主责单位：</w:t>
      </w:r>
      <w:r>
        <w:rPr>
          <w:rFonts w:hint="eastAsia" w:ascii="楷体_GB2312" w:hAnsi="仿宋_GB2312" w:eastAsia="楷体_GB2312" w:cs="仿宋_GB2312"/>
        </w:rPr>
        <w:t>区发展改革委</w:t>
      </w:r>
      <w:r>
        <w:rPr>
          <w:rFonts w:hint="eastAsia" w:ascii="仿宋_GB2312" w:hAnsi="仿宋_GB2312" w:cs="仿宋_GB2312"/>
        </w:rPr>
        <w:t>）深化与海淀海关协调联动“四机制”，为企业提供通关便利化服务。积极融入京津冀企业登记注册一体化，实现外方投资者资格证明互认。（</w:t>
      </w:r>
      <w:r>
        <w:rPr>
          <w:rFonts w:hint="eastAsia" w:ascii="楷体_GB2312" w:hAnsi="楷体_GB2312" w:eastAsia="楷体_GB2312" w:cs="楷体_GB2312"/>
        </w:rPr>
        <w:t>主责单位：区商务局、区市场监管局</w:t>
      </w:r>
      <w:r>
        <w:rPr>
          <w:rFonts w:hint="eastAsia" w:ascii="仿宋_GB2312" w:hAnsi="仿宋_GB2312" w:cs="仿宋_GB2312"/>
        </w:rPr>
        <w:t>）健全“部门+镇街+园区”的中小微企业协同服务体系，推进优质中小企业梯度培育。（</w:t>
      </w:r>
      <w:r>
        <w:rPr>
          <w:rFonts w:hint="eastAsia" w:ascii="楷体_GB2312" w:hAnsi="楷体_GB2312" w:eastAsia="楷体_GB2312" w:cs="楷体_GB2312"/>
        </w:rPr>
        <w:t>主责单位：区发展改革委、区经济和信息化局、区政务和数据局</w:t>
      </w:r>
      <w:r>
        <w:rPr>
          <w:rFonts w:hint="eastAsia" w:ascii="仿宋_GB2312" w:hAnsi="仿宋_GB2312" w:cs="仿宋_GB2312"/>
        </w:rPr>
        <w:t>）</w:t>
      </w:r>
    </w:p>
    <w:p>
      <w:pPr>
        <w:pStyle w:val="3"/>
        <w:spacing w:after="0" w:line="560" w:lineRule="exact"/>
        <w:ind w:firstLine="640"/>
        <w:rPr>
          <w:rFonts w:eastAsia="黑体"/>
        </w:rPr>
      </w:pPr>
      <w:r>
        <w:rPr>
          <w:rFonts w:hint="eastAsia" w:ascii="黑体" w:hAnsi="黑体" w:eastAsia="黑体" w:cs="楷体_GB2312"/>
          <w:sz w:val="32"/>
          <w:szCs w:val="32"/>
        </w:rPr>
        <w:t>四、构建“赋能型”的人才服务机制</w:t>
      </w:r>
    </w:p>
    <w:p>
      <w:pPr>
        <w:pStyle w:val="5"/>
        <w:spacing w:after="0"/>
        <w:ind w:firstLineChars="0"/>
        <w:rPr>
          <w:rFonts w:hint="eastAsia" w:ascii="黑体" w:hAnsi="黑体" w:eastAsia="黑体" w:cs="楷体_GB2312"/>
          <w:szCs w:val="32"/>
        </w:rPr>
      </w:pPr>
      <w:r>
        <w:rPr>
          <w:rFonts w:hint="eastAsia" w:ascii="仿宋_GB2312" w:hAnsi="仿宋_GB2312" w:eastAsia="仿宋_GB2312" w:cs="仿宋_GB2312"/>
        </w:rPr>
        <w:t>培育引进一批战略科学家、科技领军人才和创新团队，加快建设国际化高水平人才聚集区。落实“昌聚工程”，实施“星斗”“雨燕”“骐骥”“云台”四项人才集聚培养计划，探索实施青年科技人才“培苗资助计划”。</w:t>
      </w:r>
      <w:r>
        <w:rPr>
          <w:rFonts w:hint="eastAsia" w:ascii="楷体_GB2312" w:hAnsi="楷体_GB2312" w:eastAsia="楷体_GB2312" w:cs="楷体_GB2312"/>
          <w:szCs w:val="32"/>
        </w:rPr>
        <w:t>（主责单位：区人才局、区科委）</w:t>
      </w:r>
      <w:r>
        <w:rPr>
          <w:rFonts w:hint="eastAsia" w:ascii="仿宋_GB2312" w:hAnsi="仿宋_GB2312" w:eastAsia="仿宋_GB2312" w:cs="仿宋_GB2312"/>
        </w:rPr>
        <w:t>深化职业教育产教融合，打造区域产教联合体、行业产教融合共同体，推进多学制人才培养。（</w:t>
      </w:r>
      <w:r>
        <w:rPr>
          <w:rFonts w:hint="eastAsia" w:ascii="楷体_GB2312" w:hAnsi="楷体_GB2312" w:eastAsia="楷体_GB2312" w:cs="楷体_GB2312"/>
          <w:szCs w:val="32"/>
        </w:rPr>
        <w:t>主责单位：区教委</w:t>
      </w:r>
      <w:r>
        <w:rPr>
          <w:rFonts w:hint="eastAsia" w:ascii="仿宋_GB2312" w:hAnsi="仿宋_GB2312" w:eastAsia="仿宋_GB2312" w:cs="仿宋_GB2312"/>
        </w:rPr>
        <w:t>）健全“昌聚工程”政策体系，配套出台专项人才政策，跟进做好政策兑现评估、迭代升级等工作。联合驻昌高校做实“人才干部共育平台”，深化“科技副总”等柔性引才机制，推广人才服务管家等模式，解决好人才子女入学等需求，让各类人才心无旁骛地在昌平创新创业。</w:t>
      </w:r>
      <w:r>
        <w:rPr>
          <w:rFonts w:hint="eastAsia" w:ascii="楷体_GB2312" w:hAnsi="楷体_GB2312" w:eastAsia="楷体_GB2312" w:cs="楷体_GB2312"/>
          <w:szCs w:val="32"/>
        </w:rPr>
        <w:t>（主责单位：区人才局、区科委、区教委、区住房城乡建设委）</w:t>
      </w:r>
      <w:r>
        <w:rPr>
          <w:rFonts w:hint="eastAsia" w:ascii="仿宋_GB2312" w:hAnsi="仿宋_GB2312" w:eastAsia="仿宋_GB2312" w:cs="仿宋_GB2312"/>
          <w:szCs w:val="32"/>
        </w:rPr>
        <w:t>筹建保障性住房6600套，加大布局重点产业园区周边人才公寓建设，更好满足新市民、青年人等群体住房需求。</w:t>
      </w:r>
      <w:r>
        <w:rPr>
          <w:rFonts w:hint="eastAsia" w:ascii="楷体_GB2312" w:hAnsi="楷体_GB2312" w:eastAsia="楷体_GB2312" w:cs="楷体_GB2312"/>
          <w:szCs w:val="32"/>
        </w:rPr>
        <w:t>（主责单位：区住房城乡建设委、市规自委昌平分局）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五、</w:t>
      </w:r>
      <w:bookmarkStart w:id="0" w:name="OLE_LINK2"/>
      <w:r>
        <w:rPr>
          <w:rFonts w:hint="eastAsia" w:ascii="黑体" w:hAnsi="黑体" w:eastAsia="黑体" w:cs="楷体_GB2312"/>
          <w:sz w:val="32"/>
          <w:szCs w:val="32"/>
        </w:rPr>
        <w:t>打造“有温度”的监管执法范式</w:t>
      </w:r>
    </w:p>
    <w:p>
      <w:pPr>
        <w:pStyle w:val="5"/>
        <w:spacing w:after="0"/>
        <w:rPr>
          <w:rFonts w:hint="eastAsia" w:ascii="黑体" w:hAnsi="黑体" w:eastAsia="黑体" w:cs="楷体_GB2312"/>
          <w:szCs w:val="32"/>
        </w:rPr>
      </w:pPr>
      <w:r>
        <w:rPr>
          <w:rFonts w:ascii="仿宋_GB2312" w:hAnsi="仿宋_GB2312" w:eastAsia="仿宋_GB2312" w:cs="仿宋_GB2312"/>
          <w:szCs w:val="40"/>
          <w:lang w:bidi="ar"/>
        </w:rPr>
        <w:t>深化一体化综合监管改革，开展规范涉企执法专项行动，全面推行“扫码检查”，实现涉企行政检查减量提质不扰企，扩大非现场监管覆盖范围。（</w:t>
      </w:r>
      <w:r>
        <w:rPr>
          <w:rFonts w:ascii="楷体_GB2312" w:hAnsi="楷体_GB2312" w:eastAsia="楷体_GB2312" w:cs="楷体_GB2312"/>
          <w:szCs w:val="40"/>
          <w:lang w:bidi="ar"/>
        </w:rPr>
        <w:t>主责单位：区市场监管局、区司法局</w:t>
      </w:r>
      <w:r>
        <w:rPr>
          <w:rFonts w:ascii="仿宋_GB2312" w:hAnsi="仿宋_GB2312" w:eastAsia="仿宋_GB2312" w:cs="仿宋_GB2312"/>
          <w:szCs w:val="40"/>
          <w:lang w:bidi="ar"/>
        </w:rPr>
        <w:t>）规范落实轻微免罚首违慎罚制度，广泛运用说服教育、劝导示范、警示告诫、指导约谈等方式，努力做到宽严相济、法理相融，让执法既有力度又有温度。（</w:t>
      </w:r>
      <w:r>
        <w:rPr>
          <w:rFonts w:ascii="楷体_GB2312" w:hAnsi="楷体_GB2312" w:eastAsia="楷体_GB2312" w:cs="楷体_GB2312"/>
          <w:szCs w:val="40"/>
          <w:lang w:bidi="ar"/>
        </w:rPr>
        <w:t>主责单位：区司法局</w:t>
      </w:r>
      <w:r>
        <w:rPr>
          <w:rFonts w:ascii="仿宋_GB2312" w:hAnsi="仿宋_GB2312" w:eastAsia="仿宋_GB2312" w:cs="仿宋_GB2312"/>
          <w:szCs w:val="40"/>
          <w:lang w:bidi="ar"/>
        </w:rPr>
        <w:t>）落实</w:t>
      </w:r>
      <w:r>
        <w:rPr>
          <w:rFonts w:ascii="仿宋_GB2312" w:hAnsi="仿宋_GB2312" w:eastAsia="仿宋_GB2312" w:cs="仿宋_GB2312"/>
          <w:szCs w:val="40"/>
        </w:rPr>
        <w:t>“风险+信用”分级分类监管机制，动态扩充“无事不扰”企业清单</w:t>
      </w:r>
      <w:r>
        <w:rPr>
          <w:rFonts w:ascii="仿宋_GB2312" w:hAnsi="仿宋_GB2312" w:eastAsia="仿宋_GB2312" w:cs="仿宋_GB2312"/>
        </w:rPr>
        <w:t>。强化信用风险分级分类结果应用，</w:t>
      </w:r>
      <w:r>
        <w:rPr>
          <w:rFonts w:ascii="仿宋_GB2312" w:hAnsi="仿宋_GB2312" w:eastAsia="仿宋_GB2312" w:cs="仿宋_GB2312"/>
          <w:szCs w:val="40"/>
        </w:rPr>
        <w:t>推动经营主体信用修复。</w:t>
      </w:r>
      <w:r>
        <w:rPr>
          <w:rFonts w:ascii="仿宋_GB2312" w:hAnsi="仿宋_GB2312" w:eastAsia="仿宋_GB2312" w:cs="仿宋_GB2312"/>
        </w:rPr>
        <w:t>（</w:t>
      </w:r>
      <w:r>
        <w:rPr>
          <w:rFonts w:ascii="楷体_GB2312" w:hAnsi="楷体_GB2312" w:eastAsia="楷体_GB2312" w:cs="楷体_GB2312"/>
          <w:szCs w:val="40"/>
          <w:lang w:bidi="ar"/>
        </w:rPr>
        <w:t>主责单位：区市场监管局</w:t>
      </w:r>
      <w:r>
        <w:rPr>
          <w:rFonts w:ascii="仿宋_GB2312" w:hAnsi="仿宋_GB2312" w:eastAsia="仿宋_GB2312" w:cs="仿宋_GB2312"/>
          <w:szCs w:val="40"/>
        </w:rPr>
        <w:t>、</w:t>
      </w:r>
      <w:r>
        <w:rPr>
          <w:rFonts w:ascii="楷体_GB2312" w:hAnsi="楷体_GB2312" w:eastAsia="楷体_GB2312" w:cs="楷体_GB2312"/>
          <w:szCs w:val="40"/>
        </w:rPr>
        <w:t>区经济和信息化局</w:t>
      </w:r>
      <w:r>
        <w:rPr>
          <w:rFonts w:ascii="仿宋_GB2312" w:hAnsi="仿宋_GB2312" w:eastAsia="仿宋_GB2312" w:cs="仿宋_GB2312"/>
          <w:szCs w:val="40"/>
        </w:rPr>
        <w:t>）建立“执法+服务”模式，探索将市场、应急、生态等执法部门纳入服务管家队伍，为企业提供合规指导和法规培训解读等服务，做好事前指导、事中服务、事后跟踪等环节。（</w:t>
      </w:r>
      <w:r>
        <w:rPr>
          <w:rFonts w:ascii="楷体_GB2312" w:hAnsi="仿宋_GB2312" w:eastAsia="楷体_GB2312" w:cs="仿宋_GB2312"/>
          <w:szCs w:val="40"/>
        </w:rPr>
        <w:t>主责单位：区发展改革委、区市场监管局、区应急局、区生态环境局、区卫生健康委、区农业农村局、区交通局、区体育局、区城管执法局</w:t>
      </w:r>
      <w:r>
        <w:rPr>
          <w:rFonts w:hint="eastAsia" w:ascii="楷体_GB2312" w:hAnsi="仿宋_GB2312" w:eastAsia="楷体_GB2312" w:cs="仿宋_GB2312"/>
          <w:szCs w:val="40"/>
          <w:lang w:eastAsia="zh-CN"/>
        </w:rPr>
        <w:t>、各镇街</w:t>
      </w:r>
      <w:r>
        <w:rPr>
          <w:rFonts w:ascii="仿宋_GB2312" w:hAnsi="仿宋_GB2312" w:eastAsia="仿宋_GB2312" w:cs="仿宋_GB2312"/>
          <w:szCs w:val="40"/>
        </w:rPr>
        <w:t>）</w:t>
      </w:r>
      <w:r>
        <w:rPr>
          <w:rFonts w:ascii="仿宋_GB2312" w:hAnsi="仿宋_GB2312" w:eastAsia="仿宋_GB2312" w:cs="仿宋_GB2312"/>
        </w:rPr>
        <w:t>充分发挥“宜商”监督员“眼睛”“探头”“哨兵”作用，加强工作人员服务态度及作风纪律建设</w:t>
      </w:r>
      <w:r>
        <w:rPr>
          <w:rFonts w:ascii="仿宋_GB2312" w:hAnsi="仿宋_GB2312" w:eastAsia="仿宋_GB2312" w:cs="仿宋_GB2312"/>
          <w:szCs w:val="40"/>
        </w:rPr>
        <w:t>。（</w:t>
      </w:r>
      <w:r>
        <w:rPr>
          <w:rFonts w:ascii="楷体_GB2312" w:hAnsi="楷体_GB2312" w:eastAsia="楷体_GB2312" w:cs="楷体_GB2312"/>
          <w:szCs w:val="40"/>
        </w:rPr>
        <w:t>主责单位：区发展改革委</w:t>
      </w:r>
      <w:r>
        <w:rPr>
          <w:rFonts w:ascii="仿宋_GB2312" w:hAnsi="仿宋_GB2312" w:eastAsia="仿宋_GB2312" w:cs="仿宋_GB2312"/>
          <w:szCs w:val="40"/>
        </w:rPr>
        <w:t>）加强企业权益保护，强化异地执法协调力度，依托公共法律服务平台，组织法律专业人才队伍为企业提供法律咨询服务。（</w:t>
      </w:r>
      <w:r>
        <w:rPr>
          <w:rFonts w:ascii="楷体_GB2312" w:hAnsi="楷体_GB2312" w:eastAsia="楷体_GB2312" w:cs="楷体_GB2312"/>
          <w:szCs w:val="40"/>
        </w:rPr>
        <w:t>主责单位：区司法局、各相关行业主管部门</w:t>
      </w:r>
      <w:r>
        <w:rPr>
          <w:rFonts w:ascii="仿宋_GB2312" w:hAnsi="仿宋_GB2312" w:eastAsia="仿宋_GB2312" w:cs="仿宋_GB2312"/>
          <w:szCs w:val="40"/>
        </w:rPr>
        <w:t>）平等保护各类市场主体合法权益，依法妥善化解各类矛盾纠纷，健全“双诉双融”共治机制，优化法治化营商环境。（</w:t>
      </w:r>
      <w:r>
        <w:rPr>
          <w:rFonts w:ascii="楷体_GB2312" w:hAnsi="楷体_GB2312" w:eastAsia="楷体_GB2312" w:cs="楷体_GB2312"/>
          <w:szCs w:val="40"/>
        </w:rPr>
        <w:t>主责单位：区法院</w:t>
      </w:r>
      <w:r>
        <w:rPr>
          <w:rFonts w:ascii="仿宋_GB2312" w:hAnsi="仿宋_GB2312" w:eastAsia="仿宋_GB2312" w:cs="仿宋_GB2312"/>
          <w:szCs w:val="40"/>
        </w:rPr>
        <w:t>）</w:t>
      </w:r>
    </w:p>
    <w:bookmarkEnd w:id="0"/>
    <w:p>
      <w:pPr>
        <w:pStyle w:val="5"/>
        <w:spacing w:after="0"/>
        <w:ind w:left="-10"/>
        <w:rPr>
          <w:rFonts w:hint="eastAsia" w:ascii="黑体" w:hAnsi="黑体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六、营造“清朗化”的网络营商环境</w:t>
      </w:r>
    </w:p>
    <w:p>
      <w:pPr>
        <w:pStyle w:val="5"/>
        <w:numPr>
          <w:ilvl w:val="255"/>
          <w:numId w:val="0"/>
        </w:numPr>
        <w:spacing w:after="0"/>
        <w:ind w:firstLine="640" w:firstLineChars="200"/>
      </w:pPr>
      <w:r>
        <w:rPr>
          <w:rFonts w:hint="eastAsia" w:ascii="仿宋_GB2312" w:hAnsi="仿宋_GB2312" w:eastAsia="仿宋_GB2312" w:cs="仿宋_GB2312"/>
        </w:rPr>
        <w:t>重点整治散布传播涉企虚假不实信息，蓄意造谣抹黑企业、企业家，以“舆论监督”名义对企业进行敲诈勒索等问题。建立涉企网络侵权“快速响应通道”，对编造传播虚假不实信息、以处置负面信息为由要挟企业等问题开展专项整治,集中打击并惩治涉企造谣传谣违法犯罪行为，营造清朗的舆论环境。督促网站平台加强涉企信息审核管理，多渠道宣传《涉企网络侵权信息举报指引》，持续开展业务指导，提升企业应对处置能力。（</w:t>
      </w:r>
      <w:r>
        <w:rPr>
          <w:rFonts w:hint="eastAsia" w:ascii="楷体_GB2312" w:hAnsi="楷体_GB2312" w:eastAsia="楷体_GB2312" w:cs="楷体_GB2312"/>
          <w:szCs w:val="32"/>
        </w:rPr>
        <w:t>主责单位：区委网信办、公安昌平分局）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七、优化“内生性”的创新创业生态</w:t>
      </w:r>
    </w:p>
    <w:p>
      <w:pPr>
        <w:spacing w:after="0"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强化“三城一区”联动发展，</w:t>
      </w:r>
      <w:r>
        <w:rPr>
          <w:rFonts w:hint="eastAsia" w:ascii="仿宋_GB2312" w:hAnsi="仿宋_GB2312" w:eastAsia="仿宋_GB2312" w:cs="仿宋_GB2312"/>
          <w:sz w:val="32"/>
        </w:rPr>
        <w:t>坚持“科学+城”理念，以科技创新引领培育新质生产力，高水平建设重点功能区，高效率配置创新要素，高品质优化创新生态，打造世界一流的科学城。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（主责单位：未来科学城管委会、未来科学城公司）</w:t>
      </w:r>
      <w:r>
        <w:rPr>
          <w:rFonts w:hint="eastAsia" w:ascii="仿宋_GB2312" w:hAnsi="仿宋_GB2312" w:eastAsia="仿宋_GB2312" w:cs="仿宋_GB2312"/>
          <w:sz w:val="32"/>
        </w:rPr>
        <w:t>完善校城融合政策机制，推动产业链、创新链、人才链、教育链深度融合，实现有组织的科技成果转化，争创全国高校区域技术转移转化中心。（</w:t>
      </w:r>
      <w:r>
        <w:rPr>
          <w:rFonts w:hint="eastAsia" w:ascii="楷体_GB2312" w:hAnsi="楷体_GB2312" w:eastAsia="楷体_GB2312" w:cs="楷体_GB2312"/>
          <w:sz w:val="32"/>
          <w:szCs w:val="32"/>
        </w:rPr>
        <w:t>主责单位：未来科学城管委会、区科委</w:t>
      </w:r>
      <w:r>
        <w:rPr>
          <w:rFonts w:hint="eastAsia" w:ascii="仿宋_GB2312" w:hAnsi="仿宋_GB2312" w:eastAsia="仿宋_GB2312" w:cs="仿宋_GB2312"/>
          <w:sz w:val="32"/>
        </w:rPr>
        <w:t>）加大力度支持高校项目建设和成果转化，推动北脑所、北生所等新型研发机构成果转化，新增科学家创办企业10家以上。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支持头部资本开展有组织创新活动，着力打造“投资+临床+孵化+园区”四位一体生态圈。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完善支持民营企业参与产业链构建和重大项目建设机制，支持有能力的民营企业承担重大技术攻关任务。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（主责单位：区发展改革委、区经济和信息化局）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探索建立联动服务企业机制，推动未来科学城区域各类资源向镇街企业共享，赋能所辖企业高质量发展。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（主责单位：区发展改革委）</w:t>
      </w:r>
    </w:p>
    <w:p>
      <w:pPr>
        <w:pStyle w:val="3"/>
        <w:spacing w:after="0" w:line="560" w:lineRule="exact"/>
        <w:ind w:firstLine="64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八、布局“金立方”的金融服务矩阵</w:t>
      </w:r>
    </w:p>
    <w:p>
      <w:pPr>
        <w:pStyle w:val="5"/>
        <w:spacing w:after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构建“昌平·金立方”多层次综合金融服务框架，发挥“股贷债保”多板块金融服务矩阵的金融资源聚集优势，力争聚集科创金融机构100家，创建科创金融示范区。（</w:t>
      </w:r>
      <w:r>
        <w:rPr>
          <w:rFonts w:hint="eastAsia" w:ascii="楷体_GB2312" w:hAnsi="仿宋_GB2312" w:eastAsia="楷体_GB2312" w:cs="仿宋_GB2312"/>
          <w:szCs w:val="32"/>
        </w:rPr>
        <w:t>主责单位：区发展改革委</w:t>
      </w:r>
      <w:r>
        <w:rPr>
          <w:rFonts w:hint="eastAsia" w:ascii="仿宋_GB2312" w:hAnsi="仿宋_GB2312" w:eastAsia="仿宋_GB2312" w:cs="仿宋_GB2312"/>
          <w:szCs w:val="32"/>
        </w:rPr>
        <w:t>）积极争取央国资在昌设立创业投资基金，加强与AIC股权投资基金合作，新设科技成果转化、合成生物制造等专项基金，推动中移科创基金等链主基金落地，支持重点领域和关键赛道。不断探索“投贷联动”融资模式，投早、投小、投长期、投硬科技，加快形成对主导产业和关键环节科创企业的长周期赋能支持模式。</w:t>
      </w:r>
      <w:r>
        <w:rPr>
          <w:rFonts w:hint="eastAsia" w:ascii="楷体_GB2312" w:hAnsi="仿宋_GB2312" w:eastAsia="楷体_GB2312" w:cs="仿宋_GB2312"/>
          <w:szCs w:val="32"/>
        </w:rPr>
        <w:t>（主责单位：区发展改革委、区财政局）</w:t>
      </w:r>
      <w:r>
        <w:rPr>
          <w:rFonts w:hint="eastAsia" w:ascii="仿宋_GB2312" w:hAnsi="仿宋_GB2312" w:eastAsia="仿宋_GB2312" w:cs="仿宋_GB2312"/>
          <w:szCs w:val="32"/>
        </w:rPr>
        <w:t>为科技企业量身定做科创金融产品，提高知识产权质押融资规模，深化“科技+保险”服务模式，组建保险创新研究实验室，持续提升区内企业获取金融服务的便利度、获得性和满意率。打造线上线下金融服务平台，线上迭代“信易贷”“昌易贷”金融服务超市，线下依托北交所昌平服务基地促进企业境内外上市和新三板挂牌。发挥小微企业融资协调机制作用，持续推广“千企万户大走访”活动，打通金融惠企利民“最后一公里”。</w:t>
      </w:r>
      <w:r>
        <w:rPr>
          <w:rFonts w:hint="eastAsia" w:ascii="楷体_GB2312" w:hAnsi="楷体_GB2312" w:eastAsia="楷体_GB2312" w:cs="楷体_GB2312"/>
          <w:szCs w:val="32"/>
        </w:rPr>
        <w:t>（主责单位：区发展改革委）</w:t>
      </w:r>
    </w:p>
    <w:p>
      <w:pPr>
        <w:spacing w:after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九、巩固“强粘性”的产业发展环境</w:t>
      </w:r>
    </w:p>
    <w:p>
      <w:pPr>
        <w:spacing w:after="0" w:line="560" w:lineRule="exact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做大做强三个千亿级主导产业集群，医药健康产业重点强化医研产协同、先进能源产业围绕构建“热带雨林”生态圈、先进制造产业突出数智融合发展，扩大现代服务业规模，推动科创金融示范区建设，实施科技服务业高质量发展行动计划。推动文旅农商体融合发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（主责单位：未来科学城管委会、科技园区管委会、区经济和信息化局、区发展改革委、区科委、区文化和旅游局）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实施未来产业发展三年行动计划，抢占优质高成长新赛道，落实“人工智能+”行动，促进数智技术与其他产业技术集成应用，争创国家未来产业先导区。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（主责单位：区经济和信息化局）</w:t>
      </w:r>
      <w:r>
        <w:rPr>
          <w:rFonts w:hint="eastAsia" w:ascii="仿宋_GB2312" w:hAnsi="仿宋_GB2312" w:eastAsia="仿宋_GB2312" w:cs="仿宋_GB2312"/>
          <w:sz w:val="32"/>
        </w:rPr>
        <w:t>迅速布局未来产业，美丽健康、合成生物制造、细胞与基因治疗、能源互联网、机器人、6G等新领域新赛道快速发展。加快国际医疗器械城、未来美城产业创新基地项目导入。推动机器人产业园一期项目完工，落地一批机器人产线项目。氢能赛道推动上下游补链强链和应用示范，提速氢能装备制造产业园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清华南口国重基地建设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持续推进“两业融合”示范园区一期建设。建设中关村合成</w:t>
      </w:r>
      <w:r>
        <w:rPr>
          <w:rFonts w:hint="eastAsia" w:ascii="仿宋_GB2312" w:hAnsi="仿宋_GB2312" w:eastAsia="仿宋_GB2312" w:cs="仿宋_GB2312"/>
          <w:sz w:val="32"/>
        </w:rPr>
        <w:t>生物制造产业集聚区，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推动技术创新中心等平台投入运营，引入更多优质企业项目。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（主责单位：未来科学城管委会、科技园区管委会、区经济和信息化局、区发展改革委、区科委、区住房城乡建设委、未来科学城公司）</w:t>
      </w:r>
    </w:p>
    <w:p>
      <w:pPr>
        <w:pStyle w:val="3"/>
        <w:spacing w:after="0" w:line="560" w:lineRule="exact"/>
        <w:ind w:firstLine="64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十、厚植“强磁性”的宜业宜居营商沃土</w:t>
      </w:r>
    </w:p>
    <w:p>
      <w:pPr>
        <w:pStyle w:val="3"/>
        <w:spacing w:after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全面提升生态环境质量的同时，重点打造花园城市先行示范区，加快温榆河生态休闲廊道，推动奥北森林公园三期建成开园，打造更多高品质生态空间。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（主责单位：区生态环境局、区园林绿化局、区水务局）</w:t>
      </w:r>
      <w:r>
        <w:rPr>
          <w:rFonts w:hint="eastAsia" w:ascii="仿宋_GB2312" w:hAnsi="仿宋_GB2312" w:eastAsia="仿宋_GB2312" w:cs="仿宋_GB2312"/>
          <w:sz w:val="32"/>
        </w:rPr>
        <w:t>加快建设智慧城市，强化产业园区公共基础设施配套提升。</w:t>
      </w:r>
      <w:r>
        <w:rPr>
          <w:rFonts w:hint="eastAsia" w:ascii="楷体_GB2312" w:hAnsi="楷体_GB2312" w:eastAsia="楷体_GB2312" w:cs="楷体_GB2312"/>
          <w:sz w:val="32"/>
        </w:rPr>
        <w:t>（主责单位：区政务和数据局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、区经济和信息化局、</w:t>
      </w:r>
      <w:r>
        <w:rPr>
          <w:rFonts w:hint="eastAsia" w:ascii="楷体_GB2312" w:hAnsi="楷体_GB2312" w:eastAsia="楷体_GB2312" w:cs="楷体_GB2312"/>
          <w:sz w:val="32"/>
        </w:rPr>
        <w:t>区城市管理委）</w:t>
      </w:r>
      <w:r>
        <w:rPr>
          <w:rFonts w:hint="eastAsia" w:ascii="仿宋_GB2312" w:hAnsi="仿宋_GB2312" w:eastAsia="仿宋_GB2312" w:cs="仿宋_GB2312"/>
          <w:sz w:val="32"/>
        </w:rPr>
        <w:t>办好环西自行车赛、明潮千帆音乐节、居庸关长城垂直挑战赛等特色活动。</w:t>
      </w:r>
      <w:r>
        <w:rPr>
          <w:rFonts w:hint="eastAsia" w:ascii="楷体_GB2312" w:hAnsi="楷体_GB2312" w:eastAsia="楷体_GB2312" w:cs="楷体_GB2312"/>
          <w:sz w:val="32"/>
        </w:rPr>
        <w:t>（主责单位：区文化和旅游局、昌平文旅集团、区政府外事办、区体育局）</w:t>
      </w:r>
      <w:r>
        <w:rPr>
          <w:rFonts w:hint="eastAsia" w:ascii="仿宋_GB2312" w:hAnsi="仿宋_GB2312" w:eastAsia="仿宋_GB2312" w:cs="仿宋_GB2312"/>
          <w:sz w:val="32"/>
        </w:rPr>
        <w:t>引入更多首店和首发首秀产品，持续释放消费活力。</w:t>
      </w:r>
      <w:r>
        <w:rPr>
          <w:rFonts w:hint="eastAsia" w:ascii="楷体_GB2312" w:hAnsi="楷体_GB2312" w:eastAsia="楷体_GB2312" w:cs="楷体_GB2312"/>
          <w:sz w:val="32"/>
        </w:rPr>
        <w:t>（主责单位：区商务局、区市场监管局）</w:t>
      </w:r>
      <w:r>
        <w:rPr>
          <w:rFonts w:hint="eastAsia" w:ascii="仿宋_GB2312" w:hAnsi="仿宋_GB2312" w:eastAsia="仿宋_GB2312" w:cs="仿宋_GB2312"/>
          <w:sz w:val="32"/>
        </w:rPr>
        <w:t>推进智慧商圈建设，加大人工智能等数字技术的应用，推动昌平新城、龙德、龙域、龙泽4个重点商圈建设，挖掘昌平新城东区、能源谷核心区、生命科学园、沙河高教园4个新增培育型商圈的发展动能。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区商务局）</w:t>
      </w:r>
      <w:r>
        <w:rPr>
          <w:rFonts w:hint="eastAsia" w:ascii="仿宋_GB2312" w:hAnsi="仿宋_GB2312" w:eastAsia="仿宋_GB2312" w:cs="仿宋_GB2312"/>
          <w:sz w:val="32"/>
        </w:rPr>
        <w:t>优化公共教育服务供给，扩大教育集团辐射带动范围，争创义务教育优质均衡发展区。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区教委）</w:t>
      </w:r>
      <w:r>
        <w:rPr>
          <w:rFonts w:hint="eastAsia" w:ascii="仿宋_GB2312" w:hAnsi="仿宋_GB2312" w:eastAsia="仿宋_GB2312" w:cs="仿宋_GB2312"/>
          <w:sz w:val="32"/>
        </w:rPr>
        <w:t>积极推进分级诊疗，让群众看病就医更便捷。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区卫生健康委）</w:t>
      </w:r>
      <w:r>
        <w:rPr>
          <w:rFonts w:hint="eastAsia" w:ascii="仿宋_GB2312" w:hAnsi="仿宋_GB2312" w:eastAsia="仿宋_GB2312" w:cs="仿宋_GB2312"/>
          <w:sz w:val="32"/>
        </w:rPr>
        <w:t>提升公共体育服务，推动小米产业园体育公园建设，新建和更新一批群众身边的体育设施。</w:t>
      </w:r>
      <w:r>
        <w:rPr>
          <w:rFonts w:hint="eastAsia" w:ascii="楷体_GB2312" w:hAnsi="楷体_GB2312" w:eastAsia="楷体_GB2312" w:cs="楷体_GB2312"/>
          <w:sz w:val="32"/>
        </w:rPr>
        <w:t>（主责单位：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>区体育局）</w:t>
      </w:r>
    </w:p>
    <w:p>
      <w:pPr>
        <w:pStyle w:val="3"/>
        <w:spacing w:after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after="0" w:line="560" w:lineRule="exact"/>
      </w:pP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北京市昌平区发展和改革委员会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2025年2月8日</w:t>
      </w:r>
    </w:p>
    <w:p>
      <w:pPr>
        <w:spacing w:after="0" w:line="560" w:lineRule="exact"/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9514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5F3A4F"/>
    <w:rsid w:val="00007D66"/>
    <w:rsid w:val="00014A58"/>
    <w:rsid w:val="00026F24"/>
    <w:rsid w:val="00037BC5"/>
    <w:rsid w:val="00051A5B"/>
    <w:rsid w:val="00051EA1"/>
    <w:rsid w:val="000823B0"/>
    <w:rsid w:val="00086B1B"/>
    <w:rsid w:val="0009053E"/>
    <w:rsid w:val="0009665C"/>
    <w:rsid w:val="000A14D5"/>
    <w:rsid w:val="000A4BCF"/>
    <w:rsid w:val="000A69A3"/>
    <w:rsid w:val="000B31B3"/>
    <w:rsid w:val="000B4315"/>
    <w:rsid w:val="000B7CBE"/>
    <w:rsid w:val="000C2106"/>
    <w:rsid w:val="000E48E0"/>
    <w:rsid w:val="000E5DE1"/>
    <w:rsid w:val="001077DF"/>
    <w:rsid w:val="00122987"/>
    <w:rsid w:val="00124290"/>
    <w:rsid w:val="00131F02"/>
    <w:rsid w:val="00137210"/>
    <w:rsid w:val="00154817"/>
    <w:rsid w:val="00156193"/>
    <w:rsid w:val="00172472"/>
    <w:rsid w:val="001770DB"/>
    <w:rsid w:val="0018021C"/>
    <w:rsid w:val="001850A2"/>
    <w:rsid w:val="001B5917"/>
    <w:rsid w:val="001C3E5D"/>
    <w:rsid w:val="001D28CB"/>
    <w:rsid w:val="001D5FB9"/>
    <w:rsid w:val="001E0970"/>
    <w:rsid w:val="001E2D68"/>
    <w:rsid w:val="001F58EF"/>
    <w:rsid w:val="002047A1"/>
    <w:rsid w:val="002122B8"/>
    <w:rsid w:val="00213E4A"/>
    <w:rsid w:val="002270EC"/>
    <w:rsid w:val="00230A43"/>
    <w:rsid w:val="00242871"/>
    <w:rsid w:val="00243359"/>
    <w:rsid w:val="00252AF1"/>
    <w:rsid w:val="0025627C"/>
    <w:rsid w:val="002647CA"/>
    <w:rsid w:val="002927DF"/>
    <w:rsid w:val="002A2B7E"/>
    <w:rsid w:val="002A3BD2"/>
    <w:rsid w:val="002B7F2F"/>
    <w:rsid w:val="002C0FF1"/>
    <w:rsid w:val="002C742E"/>
    <w:rsid w:val="002E28A9"/>
    <w:rsid w:val="002E411A"/>
    <w:rsid w:val="00300260"/>
    <w:rsid w:val="003071C1"/>
    <w:rsid w:val="00323E85"/>
    <w:rsid w:val="00326CAB"/>
    <w:rsid w:val="00331915"/>
    <w:rsid w:val="00354D8A"/>
    <w:rsid w:val="00357E43"/>
    <w:rsid w:val="00361D20"/>
    <w:rsid w:val="00374A2F"/>
    <w:rsid w:val="00391003"/>
    <w:rsid w:val="0039757D"/>
    <w:rsid w:val="003A6AE5"/>
    <w:rsid w:val="003C3EEB"/>
    <w:rsid w:val="003D635D"/>
    <w:rsid w:val="003D7E59"/>
    <w:rsid w:val="003E14DB"/>
    <w:rsid w:val="003E54B0"/>
    <w:rsid w:val="003E7AAE"/>
    <w:rsid w:val="00405EE5"/>
    <w:rsid w:val="00415A5B"/>
    <w:rsid w:val="00426017"/>
    <w:rsid w:val="00430E79"/>
    <w:rsid w:val="00433EE4"/>
    <w:rsid w:val="00433EE7"/>
    <w:rsid w:val="00460300"/>
    <w:rsid w:val="00471A5B"/>
    <w:rsid w:val="004732EC"/>
    <w:rsid w:val="004734DF"/>
    <w:rsid w:val="004828BC"/>
    <w:rsid w:val="0049178B"/>
    <w:rsid w:val="004A4C36"/>
    <w:rsid w:val="004C48BB"/>
    <w:rsid w:val="004E4E4D"/>
    <w:rsid w:val="004F0706"/>
    <w:rsid w:val="004F5FDF"/>
    <w:rsid w:val="005078A8"/>
    <w:rsid w:val="00511F2A"/>
    <w:rsid w:val="005140EF"/>
    <w:rsid w:val="00526DFF"/>
    <w:rsid w:val="0053192D"/>
    <w:rsid w:val="0053728D"/>
    <w:rsid w:val="00541C13"/>
    <w:rsid w:val="00541EBB"/>
    <w:rsid w:val="005578A1"/>
    <w:rsid w:val="005645CB"/>
    <w:rsid w:val="005768F2"/>
    <w:rsid w:val="00592AA2"/>
    <w:rsid w:val="005A35CC"/>
    <w:rsid w:val="005B0D1B"/>
    <w:rsid w:val="005C04DC"/>
    <w:rsid w:val="005C72ED"/>
    <w:rsid w:val="005D74BC"/>
    <w:rsid w:val="005F194B"/>
    <w:rsid w:val="005F60D6"/>
    <w:rsid w:val="00600F19"/>
    <w:rsid w:val="00601399"/>
    <w:rsid w:val="006026AC"/>
    <w:rsid w:val="00603477"/>
    <w:rsid w:val="0062240A"/>
    <w:rsid w:val="00626B51"/>
    <w:rsid w:val="00627939"/>
    <w:rsid w:val="006312B6"/>
    <w:rsid w:val="0063382E"/>
    <w:rsid w:val="00637084"/>
    <w:rsid w:val="006472D8"/>
    <w:rsid w:val="00652B74"/>
    <w:rsid w:val="00653A9D"/>
    <w:rsid w:val="00690909"/>
    <w:rsid w:val="006A1D02"/>
    <w:rsid w:val="006B5E4B"/>
    <w:rsid w:val="006C6D8E"/>
    <w:rsid w:val="006E0CD1"/>
    <w:rsid w:val="006F1D7F"/>
    <w:rsid w:val="006F5B56"/>
    <w:rsid w:val="00707BDF"/>
    <w:rsid w:val="00721582"/>
    <w:rsid w:val="00722B6F"/>
    <w:rsid w:val="00732B3A"/>
    <w:rsid w:val="0075250C"/>
    <w:rsid w:val="00783419"/>
    <w:rsid w:val="00790981"/>
    <w:rsid w:val="007934D9"/>
    <w:rsid w:val="007934E1"/>
    <w:rsid w:val="0079471C"/>
    <w:rsid w:val="007A7F24"/>
    <w:rsid w:val="007D4718"/>
    <w:rsid w:val="007D54DC"/>
    <w:rsid w:val="007F4FDF"/>
    <w:rsid w:val="008012E9"/>
    <w:rsid w:val="00806E00"/>
    <w:rsid w:val="00817519"/>
    <w:rsid w:val="00820710"/>
    <w:rsid w:val="0082336C"/>
    <w:rsid w:val="00830794"/>
    <w:rsid w:val="00835893"/>
    <w:rsid w:val="00840A9C"/>
    <w:rsid w:val="00843F0D"/>
    <w:rsid w:val="008830AE"/>
    <w:rsid w:val="00893C9E"/>
    <w:rsid w:val="008B1B97"/>
    <w:rsid w:val="008B713F"/>
    <w:rsid w:val="008C5AB8"/>
    <w:rsid w:val="008D73B9"/>
    <w:rsid w:val="008E1642"/>
    <w:rsid w:val="008E4800"/>
    <w:rsid w:val="008F3A3B"/>
    <w:rsid w:val="008F5173"/>
    <w:rsid w:val="00903C71"/>
    <w:rsid w:val="009604F9"/>
    <w:rsid w:val="00974A19"/>
    <w:rsid w:val="00987508"/>
    <w:rsid w:val="009B421B"/>
    <w:rsid w:val="009C1DE1"/>
    <w:rsid w:val="009C32B6"/>
    <w:rsid w:val="009E1D2F"/>
    <w:rsid w:val="009F6F24"/>
    <w:rsid w:val="00A06805"/>
    <w:rsid w:val="00A07821"/>
    <w:rsid w:val="00A14E6D"/>
    <w:rsid w:val="00A40A07"/>
    <w:rsid w:val="00A55F51"/>
    <w:rsid w:val="00A65B97"/>
    <w:rsid w:val="00A6642A"/>
    <w:rsid w:val="00A7139E"/>
    <w:rsid w:val="00A86D36"/>
    <w:rsid w:val="00A949B6"/>
    <w:rsid w:val="00AA5AF1"/>
    <w:rsid w:val="00AB3CEE"/>
    <w:rsid w:val="00AB45C2"/>
    <w:rsid w:val="00AB57DF"/>
    <w:rsid w:val="00AB6696"/>
    <w:rsid w:val="00AD6DDF"/>
    <w:rsid w:val="00AE101F"/>
    <w:rsid w:val="00B2036C"/>
    <w:rsid w:val="00B26866"/>
    <w:rsid w:val="00B27FE8"/>
    <w:rsid w:val="00B30074"/>
    <w:rsid w:val="00B3167E"/>
    <w:rsid w:val="00B32169"/>
    <w:rsid w:val="00B34426"/>
    <w:rsid w:val="00B36F08"/>
    <w:rsid w:val="00B47CCF"/>
    <w:rsid w:val="00B57C54"/>
    <w:rsid w:val="00B704DA"/>
    <w:rsid w:val="00B738C6"/>
    <w:rsid w:val="00B75432"/>
    <w:rsid w:val="00B807D4"/>
    <w:rsid w:val="00B821F7"/>
    <w:rsid w:val="00B84F4F"/>
    <w:rsid w:val="00BC2151"/>
    <w:rsid w:val="00BD41B8"/>
    <w:rsid w:val="00C140C9"/>
    <w:rsid w:val="00C27EC3"/>
    <w:rsid w:val="00C46B79"/>
    <w:rsid w:val="00C46BE1"/>
    <w:rsid w:val="00C47E2B"/>
    <w:rsid w:val="00C53600"/>
    <w:rsid w:val="00C53DA1"/>
    <w:rsid w:val="00C53EBD"/>
    <w:rsid w:val="00C575DD"/>
    <w:rsid w:val="00C643FF"/>
    <w:rsid w:val="00C971D0"/>
    <w:rsid w:val="00CA31A1"/>
    <w:rsid w:val="00CA3EDE"/>
    <w:rsid w:val="00CA5B41"/>
    <w:rsid w:val="00CC7569"/>
    <w:rsid w:val="00CE3A96"/>
    <w:rsid w:val="00CF2617"/>
    <w:rsid w:val="00CF38FD"/>
    <w:rsid w:val="00D03C26"/>
    <w:rsid w:val="00D207E5"/>
    <w:rsid w:val="00D27F2B"/>
    <w:rsid w:val="00D32222"/>
    <w:rsid w:val="00D431CD"/>
    <w:rsid w:val="00D443D7"/>
    <w:rsid w:val="00D50281"/>
    <w:rsid w:val="00D52C11"/>
    <w:rsid w:val="00D61B9A"/>
    <w:rsid w:val="00D62705"/>
    <w:rsid w:val="00D65931"/>
    <w:rsid w:val="00D66787"/>
    <w:rsid w:val="00D86798"/>
    <w:rsid w:val="00D87770"/>
    <w:rsid w:val="00D9688C"/>
    <w:rsid w:val="00DA69AB"/>
    <w:rsid w:val="00DB575F"/>
    <w:rsid w:val="00DD5FDA"/>
    <w:rsid w:val="00DF050F"/>
    <w:rsid w:val="00DF34E0"/>
    <w:rsid w:val="00E0199E"/>
    <w:rsid w:val="00E0232F"/>
    <w:rsid w:val="00E32C22"/>
    <w:rsid w:val="00E339F6"/>
    <w:rsid w:val="00E40AB5"/>
    <w:rsid w:val="00E610D9"/>
    <w:rsid w:val="00E67262"/>
    <w:rsid w:val="00E729A0"/>
    <w:rsid w:val="00E75615"/>
    <w:rsid w:val="00EC0899"/>
    <w:rsid w:val="00EC122C"/>
    <w:rsid w:val="00EC4360"/>
    <w:rsid w:val="00EC5579"/>
    <w:rsid w:val="00ED455C"/>
    <w:rsid w:val="00EE75BC"/>
    <w:rsid w:val="00EF4B87"/>
    <w:rsid w:val="00EF7441"/>
    <w:rsid w:val="00EF7932"/>
    <w:rsid w:val="00F00E09"/>
    <w:rsid w:val="00F07BEE"/>
    <w:rsid w:val="00F26FDF"/>
    <w:rsid w:val="00F3196E"/>
    <w:rsid w:val="00F3546D"/>
    <w:rsid w:val="00F436CC"/>
    <w:rsid w:val="00F72F7C"/>
    <w:rsid w:val="00F83151"/>
    <w:rsid w:val="00F909FA"/>
    <w:rsid w:val="00FA22E7"/>
    <w:rsid w:val="00FB05ED"/>
    <w:rsid w:val="00FC780A"/>
    <w:rsid w:val="00FE1BC7"/>
    <w:rsid w:val="00FF4637"/>
    <w:rsid w:val="0F785E50"/>
    <w:rsid w:val="106E303A"/>
    <w:rsid w:val="10B215B6"/>
    <w:rsid w:val="124B6707"/>
    <w:rsid w:val="165422EA"/>
    <w:rsid w:val="1687798F"/>
    <w:rsid w:val="198238B2"/>
    <w:rsid w:val="19B17DC1"/>
    <w:rsid w:val="1C1879C7"/>
    <w:rsid w:val="1DE12F3C"/>
    <w:rsid w:val="22013245"/>
    <w:rsid w:val="25B50D05"/>
    <w:rsid w:val="282360E5"/>
    <w:rsid w:val="2E0545E2"/>
    <w:rsid w:val="2EB13384"/>
    <w:rsid w:val="30025AB0"/>
    <w:rsid w:val="31F7714C"/>
    <w:rsid w:val="325F3A4F"/>
    <w:rsid w:val="34F36F68"/>
    <w:rsid w:val="35DF2913"/>
    <w:rsid w:val="38F46125"/>
    <w:rsid w:val="3B894F23"/>
    <w:rsid w:val="48292902"/>
    <w:rsid w:val="48E90A0D"/>
    <w:rsid w:val="4DFF78E3"/>
    <w:rsid w:val="4E8D0C65"/>
    <w:rsid w:val="5051639E"/>
    <w:rsid w:val="507855EB"/>
    <w:rsid w:val="53394040"/>
    <w:rsid w:val="54DE6D1C"/>
    <w:rsid w:val="556512DB"/>
    <w:rsid w:val="594D38D3"/>
    <w:rsid w:val="5BA91B7D"/>
    <w:rsid w:val="60945A4B"/>
    <w:rsid w:val="61945AA9"/>
    <w:rsid w:val="6C3C3317"/>
    <w:rsid w:val="6D7F6F41"/>
    <w:rsid w:val="6F344570"/>
    <w:rsid w:val="72BE635A"/>
    <w:rsid w:val="79547C17"/>
    <w:rsid w:val="977DDC1F"/>
    <w:rsid w:val="DE5F4D90"/>
    <w:rsid w:val="F3EBBBC8"/>
    <w:rsid w:val="F7FFBA96"/>
    <w:rsid w:val="FFAFA31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link w:val="21"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spacing w:line="560" w:lineRule="exact"/>
      <w:ind w:firstLine="640" w:firstLineChars="200"/>
    </w:pPr>
    <w:rPr>
      <w:sz w:val="32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22"/>
    <w:qFormat/>
    <w:uiPriority w:val="99"/>
    <w:rPr>
      <w:b/>
      <w:bCs/>
    </w:rPr>
  </w:style>
  <w:style w:type="character" w:styleId="14">
    <w:name w:val="annotation reference"/>
    <w:basedOn w:val="13"/>
    <w:qFormat/>
    <w:uiPriority w:val="99"/>
    <w:rPr>
      <w:sz w:val="21"/>
      <w:szCs w:val="21"/>
    </w:rPr>
  </w:style>
  <w:style w:type="paragraph" w:customStyle="1" w:styleId="15">
    <w:name w:val="模板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customStyle="1" w:styleId="16">
    <w:name w:val="样式1"/>
    <w:basedOn w:val="2"/>
    <w:qFormat/>
    <w:uiPriority w:val="0"/>
    <w:rPr>
      <w:rFonts w:ascii="黑体" w:hAnsi="黑体"/>
      <w:szCs w:val="32"/>
    </w:rPr>
  </w:style>
  <w:style w:type="paragraph" w:customStyle="1" w:styleId="17">
    <w:name w:val="模板1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character" w:customStyle="1" w:styleId="18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kern w:val="2"/>
      <w:sz w:val="18"/>
      <w:szCs w:val="18"/>
    </w:rPr>
  </w:style>
  <w:style w:type="paragraph" w:customStyle="1" w:styleId="20">
    <w:name w:val="修订1"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3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11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HTML 预设格式 字符"/>
    <w:basedOn w:val="13"/>
    <w:link w:val="9"/>
    <w:qFormat/>
    <w:uiPriority w:val="0"/>
    <w:rPr>
      <w:rFonts w:ascii="宋体" w:hAnsi="宋体"/>
      <w:sz w:val="24"/>
      <w:szCs w:val="24"/>
    </w:rPr>
  </w:style>
  <w:style w:type="paragraph" w:customStyle="1" w:styleId="24">
    <w:name w:val="修订2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9</Pages>
  <Words>726</Words>
  <Characters>4139</Characters>
  <Lines>34</Lines>
  <Paragraphs>9</Paragraphs>
  <TotalTime>1</TotalTime>
  <ScaleCrop>false</ScaleCrop>
  <LinksUpToDate>false</LinksUpToDate>
  <CharactersWithSpaces>4856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2025-02-11T06:41:00Z</dcterms:created>
  <dc:creator>Administrator</dc:creator>
  <cp:lastModifiedBy>孙笑宇</cp:lastModifiedBy>
  <cp:lastPrinted>2025-02-09T02:06:00Z</cp:lastPrinted>
  <dcterms:modified xsi:type="dcterms:W3CDTF">2025-02-10T08:24:14Z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9C79FD097E4CEF7E20A7A067E4670B6B_43</vt:lpwstr>
  </property>
</Properties>
</file>