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after="0"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2024年建筑业资质晋升奖励</w:t>
      </w:r>
    </w:p>
    <w:p>
      <w:pPr>
        <w:spacing w:after="0"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firstLineChars="200"/>
      </w:pPr>
      <w:r>
        <w:rPr>
          <w:rFonts w:hint="eastAsia" w:ascii="仿宋_GB2312" w:hAnsi="仿宋_GB2312" w:eastAsia="仿宋_GB2312" w:cs="仿宋_GB2312"/>
          <w:bCs/>
          <w:color w:val="000000"/>
          <w:kern w:val="0"/>
          <w:sz w:val="32"/>
          <w:szCs w:val="32"/>
        </w:rPr>
        <w:t>《北京经济技术开发区关于巩固和增强经济回升向好态势的若干措施》（京技管发〔2024〕3号）中第5条“（1）支持建筑业企业资质晋升。加大建筑业总部型企业培育力度，鼓励建筑业企业向产业链上下游延伸，为新产品、新技术提供市场和资金支持。对2024年度新增施工特级资质的企业给予一次性奖励100万元；对2024年度新增施工一级资质的企业给予一次性奖励20万元。”</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仿宋_GB2312" w:hAnsi="仿宋_GB2312" w:eastAsia="仿宋_GB2312" w:cs="仿宋_GB2312"/>
          <w:sz w:val="32"/>
          <w:szCs w:val="32"/>
        </w:rPr>
        <w:t>2024年建筑业资质晋升奖励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lang w:bidi="ar"/>
        </w:rPr>
        <w:t>申报企业为在亦庄新城225平方公里范围内实际经营，近3年（</w:t>
      </w:r>
      <w:r>
        <w:rPr>
          <w:rFonts w:hint="eastAsia" w:ascii="仿宋_GB2312" w:hAnsi="仿宋_GB2312" w:eastAsia="仿宋_GB2312" w:cs="仿宋_GB2312"/>
          <w:bCs/>
          <w:color w:val="000000"/>
          <w:kern w:val="0"/>
          <w:sz w:val="32"/>
          <w:szCs w:val="32"/>
        </w:rPr>
        <w:t>2022年2月1日至2025年1月31日</w:t>
      </w:r>
      <w:r>
        <w:rPr>
          <w:rFonts w:hint="eastAsia" w:ascii="仿宋_GB2312" w:hAnsi="仿宋_GB2312" w:eastAsia="仿宋_GB2312" w:cs="仿宋_GB2312"/>
          <w:kern w:val="0"/>
          <w:sz w:val="32"/>
          <w:szCs w:val="32"/>
          <w:lang w:bidi="ar"/>
        </w:rPr>
        <w:t>）无重大行政处罚记录和刑事犯罪记录，未列入严重违法失信主体名单</w:t>
      </w:r>
      <w:r>
        <w:rPr>
          <w:rFonts w:hint="eastAsia" w:ascii="仿宋_GB2312" w:hAnsi="仿宋_GB2312" w:eastAsia="仿宋_GB2312" w:cs="仿宋_GB2312"/>
          <w:sz w:val="32"/>
          <w:szCs w:val="32"/>
        </w:rPr>
        <w:t>。</w:t>
      </w:r>
    </w:p>
    <w:p>
      <w:pPr>
        <w:spacing w:after="0" w:line="560" w:lineRule="exact"/>
        <w:ind w:firstLine="640" w:firstLineChars="200"/>
        <w:outlineLvl w:val="1"/>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（二）企业2024年度新增施工特级资质或一级资质</w:t>
      </w:r>
      <w:r>
        <w:rPr>
          <w:rFonts w:hint="eastAsia" w:ascii="仿宋_GB2312" w:hAnsi="仿宋_GB2312" w:eastAsia="仿宋_GB2312" w:cs="仿宋_GB2312"/>
          <w:bCs/>
          <w:color w:val="000000"/>
          <w:kern w:val="0"/>
          <w:sz w:val="32"/>
          <w:szCs w:val="32"/>
        </w:rPr>
        <w:t>。</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outlineLvl w:val="1"/>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对2024年度新增施工特级资质的企业给予一次性奖励100万元；对2024年度新增施工一级资质的企业给予一次性奖励20万元</w:t>
      </w:r>
      <w:r>
        <w:rPr>
          <w:rFonts w:hint="eastAsia" w:ascii="仿宋_GB2312" w:hAnsi="仿宋_GB2312" w:eastAsia="仿宋_GB2312" w:cs="仿宋_GB2312"/>
          <w:bCs/>
          <w:color w:val="000000"/>
          <w:kern w:val="0"/>
          <w:sz w:val="32"/>
          <w:szCs w:val="32"/>
          <w:lang w:eastAsia="zh-CN"/>
        </w:rPr>
        <w:t>。</w:t>
      </w:r>
    </w:p>
    <w:p>
      <w:pPr>
        <w:spacing w:after="0" w:line="56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z w:val="32"/>
          <w:szCs w:val="32"/>
        </w:rPr>
        <w:t>2024年建筑业资质晋升奖励申报表，在线填写</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64"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5.企业资质证书，原件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：经开区开发建设</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：经开区开发建设局对审核通过的申报主体拟定兑现扶持奖励金额。</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：经开区开发建设局通过政策兑现综合服务平台对审核通过的申报主体进行公示。</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经开区开发建设局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年2月12日至202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年2月26日</w:t>
      </w:r>
      <w:bookmarkStart w:id="0" w:name="_GoBack"/>
      <w:bookmarkEnd w:id="0"/>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区开发建设局，联系人：张金鑫，联系电话：010-67856739，工作日上午9:00—12:00，下午2:00—6:00。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iOGI4MTZhNzk4MGQ1OGVmZWE4MmVhYTY5YTNmMDAifQ=="/>
  </w:docVars>
  <w:rsids>
    <w:rsidRoot w:val="00360EF1"/>
    <w:rsid w:val="0001192B"/>
    <w:rsid w:val="00060052"/>
    <w:rsid w:val="00062C5F"/>
    <w:rsid w:val="000D14EF"/>
    <w:rsid w:val="000F62F2"/>
    <w:rsid w:val="001145E7"/>
    <w:rsid w:val="00161422"/>
    <w:rsid w:val="00161CCE"/>
    <w:rsid w:val="002838D9"/>
    <w:rsid w:val="00360EF1"/>
    <w:rsid w:val="00395968"/>
    <w:rsid w:val="00457B4D"/>
    <w:rsid w:val="006A1513"/>
    <w:rsid w:val="006D0140"/>
    <w:rsid w:val="00710378"/>
    <w:rsid w:val="00827860"/>
    <w:rsid w:val="00844BDB"/>
    <w:rsid w:val="00900A14"/>
    <w:rsid w:val="00923A77"/>
    <w:rsid w:val="0098077A"/>
    <w:rsid w:val="00A3406B"/>
    <w:rsid w:val="00B74D80"/>
    <w:rsid w:val="00C122AB"/>
    <w:rsid w:val="00D460B2"/>
    <w:rsid w:val="00D668C9"/>
    <w:rsid w:val="00D76185"/>
    <w:rsid w:val="00D85A9F"/>
    <w:rsid w:val="00EA199B"/>
    <w:rsid w:val="00EA546C"/>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1C36FB"/>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648EA"/>
    <w:rsid w:val="0B38121B"/>
    <w:rsid w:val="0B3E75A5"/>
    <w:rsid w:val="0B401B24"/>
    <w:rsid w:val="0B6B119E"/>
    <w:rsid w:val="0B782C5C"/>
    <w:rsid w:val="0BD84C47"/>
    <w:rsid w:val="0BEE6FC8"/>
    <w:rsid w:val="0BF72154"/>
    <w:rsid w:val="0C3A5354"/>
    <w:rsid w:val="0C4C6FFF"/>
    <w:rsid w:val="0C695133"/>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723CF"/>
    <w:rsid w:val="117D2BA9"/>
    <w:rsid w:val="118F3527"/>
    <w:rsid w:val="11CA43B8"/>
    <w:rsid w:val="11D62CBE"/>
    <w:rsid w:val="121B617A"/>
    <w:rsid w:val="1252310C"/>
    <w:rsid w:val="12E52159"/>
    <w:rsid w:val="12EE4885"/>
    <w:rsid w:val="14036F1C"/>
    <w:rsid w:val="14051437"/>
    <w:rsid w:val="142723BB"/>
    <w:rsid w:val="14483333"/>
    <w:rsid w:val="144F1126"/>
    <w:rsid w:val="146674D7"/>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3B6BA8"/>
    <w:rsid w:val="183E781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B5406"/>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AE60D46"/>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2B5073"/>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586915"/>
    <w:rsid w:val="36744D66"/>
    <w:rsid w:val="36E95DAE"/>
    <w:rsid w:val="37184DFF"/>
    <w:rsid w:val="37442BCA"/>
    <w:rsid w:val="37B84612"/>
    <w:rsid w:val="37C93788"/>
    <w:rsid w:val="37EF6300"/>
    <w:rsid w:val="37FD7B6F"/>
    <w:rsid w:val="380942B0"/>
    <w:rsid w:val="382D54B8"/>
    <w:rsid w:val="38363290"/>
    <w:rsid w:val="383A3742"/>
    <w:rsid w:val="38732C18"/>
    <w:rsid w:val="387A66CC"/>
    <w:rsid w:val="38921ED5"/>
    <w:rsid w:val="38C21827"/>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3054F1"/>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A24DE5"/>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004398"/>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B6045D"/>
    <w:rsid w:val="59D21F08"/>
    <w:rsid w:val="59D74A3B"/>
    <w:rsid w:val="59E254CE"/>
    <w:rsid w:val="5A0862EA"/>
    <w:rsid w:val="5A136301"/>
    <w:rsid w:val="5A32726C"/>
    <w:rsid w:val="5A55165E"/>
    <w:rsid w:val="5A5C093F"/>
    <w:rsid w:val="5AA36BE1"/>
    <w:rsid w:val="5AF64E2C"/>
    <w:rsid w:val="5AFE68EE"/>
    <w:rsid w:val="5B263105"/>
    <w:rsid w:val="5B505870"/>
    <w:rsid w:val="5B6806BC"/>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25339"/>
    <w:rsid w:val="672E0D6A"/>
    <w:rsid w:val="67461F75"/>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4D24B8"/>
    <w:rsid w:val="6D5B79BC"/>
    <w:rsid w:val="6D919564"/>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374619"/>
    <w:rsid w:val="75576C93"/>
    <w:rsid w:val="7557F014"/>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C43B32"/>
    <w:rsid w:val="9F6F6015"/>
    <w:rsid w:val="ADD745AA"/>
    <w:rsid w:val="C7DB93C8"/>
    <w:rsid w:val="DB5C89C6"/>
    <w:rsid w:val="DD7E7DC7"/>
    <w:rsid w:val="DEF5E07B"/>
    <w:rsid w:val="EFEEB9E2"/>
    <w:rsid w:val="F5DBA8FA"/>
    <w:rsid w:val="FDFF5EF4"/>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customStyle="1" w:styleId="12">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314</Words>
  <Characters>1791</Characters>
  <Lines>14</Lines>
  <Paragraphs>4</Paragraphs>
  <TotalTime>301</TotalTime>
  <ScaleCrop>false</ScaleCrop>
  <LinksUpToDate>false</LinksUpToDate>
  <CharactersWithSpaces>2101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2019-08-12T22:54:00Z</dcterms:created>
  <dc:creator>zkk</dc:creator>
  <cp:lastModifiedBy>名字不重要</cp:lastModifiedBy>
  <cp:lastPrinted>2025-01-26T23:08:00Z</cp:lastPrinted>
  <dcterms:modified xsi:type="dcterms:W3CDTF">2025-02-08T01:48:56Z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D0C6CB4D3DD449CF9F01DB31742842FE</vt:lpwstr>
  </property>
</Properties>
</file>