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2024年全年科技服务业营收增长</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奖励办事指南</w:t>
      </w:r>
    </w:p>
    <w:p>
      <w:pPr>
        <w:spacing w:line="560" w:lineRule="exact"/>
        <w:rPr>
          <w:rFonts w:hint="eastAsia" w:ascii="仿宋_GB2312" w:hAnsi="仿宋_GB2312" w:eastAsia="仿宋_GB2312" w:cs="仿宋_GB2312"/>
          <w:sz w:val="32"/>
          <w:szCs w:val="32"/>
        </w:rPr>
      </w:pPr>
    </w:p>
    <w:p>
      <w:pPr>
        <w:spacing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《北京经济技术开发区关于巩固和增强经济回升向好态势的若干措施》中第</w:t>
      </w:r>
      <w:r>
        <w:rPr>
          <w:rFonts w:hint="eastAsia" w:ascii="仿宋_GB2312" w:hAnsi="仿宋_GB2312" w:eastAsia="仿宋_GB2312" w:cs="仿宋_GB2312"/>
          <w:bCs/>
          <w:color w:val="000000"/>
          <w:kern w:val="0"/>
          <w:sz w:val="32"/>
          <w:szCs w:val="32"/>
          <w:lang w:val="en-US" w:eastAsia="zh-CN"/>
        </w:rPr>
        <w:t>6</w:t>
      </w:r>
      <w:r>
        <w:rPr>
          <w:rFonts w:hint="eastAsia" w:ascii="仿宋_GB2312" w:hAnsi="仿宋_GB2312" w:eastAsia="仿宋_GB2312" w:cs="仿宋_GB2312"/>
          <w:bCs/>
          <w:color w:val="000000"/>
          <w:kern w:val="0"/>
          <w:sz w:val="32"/>
          <w:szCs w:val="32"/>
        </w:rPr>
        <w:t>条</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lang w:eastAsia="zh-CN"/>
        </w:rPr>
        <w:t>）激发科技服务业释放新动能</w:t>
      </w:r>
      <w:r>
        <w:rPr>
          <w:rFonts w:hint="eastAsia" w:ascii="仿宋_GB2312" w:hAnsi="仿宋_GB2312" w:eastAsia="仿宋_GB2312" w:cs="仿宋_GB2312"/>
          <w:bCs/>
          <w:color w:val="000000"/>
          <w:kern w:val="0"/>
          <w:sz w:val="32"/>
          <w:szCs w:val="32"/>
        </w:rPr>
        <w:t>，“对2024年全年营业收入1亿元以下、增速达12%的企业，按营业收入增量部分的0.5%给予支持；对全年营业收入达1亿元（含）以上、增速达8%的企业，按营业收入增量部分的0.5%给予支持；全年最高不超过200万元。”</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outlineLvl w:val="0"/>
        <w:rPr>
          <w:rFonts w:eastAsia="仿宋_GB2312" w:cs="仿宋_GB2312"/>
          <w:sz w:val="32"/>
          <w:szCs w:val="32"/>
        </w:rPr>
      </w:pPr>
      <w:r>
        <w:rPr>
          <w:rFonts w:hint="eastAsia" w:ascii="仿宋_GB2312" w:hAnsi="仿宋_GB2312" w:eastAsia="仿宋_GB2312" w:cs="仿宋_GB2312"/>
          <w:sz w:val="32"/>
          <w:szCs w:val="32"/>
        </w:rPr>
        <w:t>2024年</w:t>
      </w:r>
      <w:r>
        <w:rPr>
          <w:rFonts w:hint="eastAsia" w:eastAsia="仿宋_GB2312" w:cs="仿宋_GB2312"/>
          <w:sz w:val="32"/>
          <w:szCs w:val="32"/>
        </w:rPr>
        <w:t>全年科技服务业营收增长奖励</w:t>
      </w:r>
    </w:p>
    <w:p>
      <w:pPr>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pStyle w:val="2"/>
        <w:spacing w:after="0" w:line="560" w:lineRule="exact"/>
        <w:ind w:firstLine="640" w:firstLineChars="200"/>
        <w:rPr>
          <w:rFonts w:hint="eastAsia" w:hAnsi="仿宋_GB2312"/>
          <w:color w:val="000000"/>
        </w:rPr>
      </w:pPr>
      <w:r>
        <w:rPr>
          <w:rFonts w:hint="eastAsia" w:hAnsi="仿宋_GB2312"/>
          <w:color w:val="000000"/>
        </w:rPr>
        <w:t>（一）</w:t>
      </w:r>
      <w:r>
        <w:rPr>
          <w:rFonts w:hint="eastAsia" w:hAnsi="仿宋_GB2312"/>
          <w:kern w:val="0"/>
          <w:lang w:bidi="ar"/>
        </w:rPr>
        <w:t>亦庄新城225平方公里范围内依法经营，无近3年（</w:t>
      </w:r>
      <w:r>
        <w:rPr>
          <w:rFonts w:hint="eastAsia" w:hAnsi="仿宋_GB2312"/>
          <w:color w:val="000000"/>
        </w:rPr>
        <w:t>2022年1月1日至2024年12月31日</w:t>
      </w:r>
      <w:r>
        <w:rPr>
          <w:rFonts w:hint="eastAsia" w:hAnsi="仿宋_GB2312"/>
          <w:kern w:val="0"/>
          <w:lang w:bidi="ar"/>
        </w:rPr>
        <w:t>）重大行政处罚记录和刑事犯罪记录，未列入严重违法失信主体名单</w:t>
      </w:r>
      <w:r>
        <w:rPr>
          <w:rFonts w:hint="eastAsia" w:hAnsi="仿宋_GB2312"/>
          <w:color w:val="000000"/>
        </w:rPr>
        <w:t>；</w:t>
      </w:r>
    </w:p>
    <w:p>
      <w:pPr>
        <w:pStyle w:val="2"/>
        <w:spacing w:after="0" w:line="560" w:lineRule="exact"/>
        <w:ind w:firstLine="640" w:firstLineChars="200"/>
        <w:rPr>
          <w:rFonts w:hint="eastAsia" w:hAnsi="仿宋_GB2312"/>
          <w:color w:val="000000"/>
        </w:rPr>
      </w:pPr>
      <w:r>
        <w:rPr>
          <w:rFonts w:hint="eastAsia" w:hAnsi="仿宋_GB2312"/>
          <w:color w:val="000000"/>
        </w:rPr>
        <w:t>（二）</w:t>
      </w:r>
      <w:r>
        <w:rPr>
          <w:rFonts w:hint="eastAsia" w:hAnsi="仿宋_GB2312"/>
          <w:bCs/>
          <w:color w:val="000000"/>
          <w:kern w:val="0"/>
        </w:rPr>
        <w:t>2024年全年（1-11月）营业收入1亿元以下、增速达12%的</w:t>
      </w:r>
      <w:r>
        <w:rPr>
          <w:rFonts w:hint="eastAsia" w:hAnsi="仿宋_GB2312"/>
          <w:color w:val="000000"/>
        </w:rPr>
        <w:t>科技服务业企业；2024年</w:t>
      </w:r>
      <w:r>
        <w:rPr>
          <w:rFonts w:hint="eastAsia" w:hAnsi="仿宋_GB2312"/>
          <w:bCs/>
          <w:color w:val="000000"/>
          <w:kern w:val="0"/>
        </w:rPr>
        <w:t>全年（1-11月）营业收入达1亿元（含）以上、增速达8%的</w:t>
      </w:r>
      <w:r>
        <w:rPr>
          <w:rFonts w:hint="eastAsia" w:hAnsi="仿宋_GB2312"/>
          <w:color w:val="000000"/>
        </w:rPr>
        <w:t>科技服务业企业。</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color w:val="000000"/>
          <w:kern w:val="0"/>
          <w:sz w:val="32"/>
          <w:szCs w:val="32"/>
        </w:rPr>
        <w:t>2024年全年（1-11月）营业收入1亿元以下、增速达12%的企业，按营业收入增量部分的0.5%给予支持；对全年（1-11月）营业收入达1亿元（含）以上、增速达8%的企业，按营业收入增量部分的0.5%给予支持；全年最高不超过200万元。</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（二）补贴金额以万元为单位，保留一位小数</w:t>
      </w:r>
      <w:r>
        <w:rPr>
          <w:rFonts w:hint="eastAsia" w:ascii="仿宋_GB2312" w:hAnsi="仿宋_GB2312" w:eastAsia="仿宋_GB2312" w:cs="仿宋_GB2312"/>
          <w:sz w:val="32"/>
          <w:szCs w:val="32"/>
          <w:highlight w:val="none"/>
        </w:rPr>
        <w:t>，低于1</w:t>
      </w:r>
      <w:r>
        <w:rPr>
          <w:rFonts w:hint="eastAsia" w:ascii="仿宋_GB2312" w:hAnsi="仿宋_GB2312" w:eastAsia="仿宋_GB2312" w:cs="仿宋_GB2312"/>
          <w:sz w:val="32"/>
          <w:szCs w:val="32"/>
          <w:highlight w:val="none"/>
          <w:lang w:eastAsia="zh-CN"/>
        </w:rPr>
        <w:t>万</w:t>
      </w:r>
      <w:r>
        <w:rPr>
          <w:rFonts w:hint="eastAsia" w:ascii="仿宋_GB2312" w:hAnsi="仿宋_GB2312" w:eastAsia="仿宋_GB2312" w:cs="仿宋_GB2312"/>
          <w:sz w:val="32"/>
          <w:szCs w:val="32"/>
          <w:highlight w:val="none"/>
        </w:rPr>
        <w:t>元不予兑现</w:t>
      </w:r>
      <w:r>
        <w:rPr>
          <w:rFonts w:hint="eastAsia" w:ascii="仿宋_GB2312" w:hAnsi="仿宋_GB2312" w:eastAsia="仿宋_GB2312" w:cs="仿宋_GB2312"/>
          <w:sz w:val="32"/>
          <w:szCs w:val="32"/>
          <w:highlight w:val="none"/>
          <w:lang w:eastAsia="zh-CN"/>
        </w:rPr>
        <w:t>，不足千元部分舍去</w:t>
      </w:r>
      <w:r>
        <w:rPr>
          <w:rFonts w:hint="eastAsia" w:ascii="仿宋_GB2312" w:hAnsi="仿宋_GB2312" w:eastAsia="仿宋_GB2312" w:cs="仿宋_GB2312"/>
          <w:sz w:val="32"/>
          <w:szCs w:val="32"/>
          <w:highlight w:val="none"/>
        </w:rPr>
        <w:t>。</w:t>
      </w:r>
    </w:p>
    <w:p>
      <w:pPr>
        <w:pStyle w:val="2"/>
        <w:spacing w:after="0" w:line="560" w:lineRule="exact"/>
        <w:ind w:firstLine="640" w:firstLineChars="200"/>
      </w:pPr>
      <w:r>
        <w:rPr>
          <w:rFonts w:hint="eastAsia"/>
        </w:rPr>
        <w:t>（三）同一企业在兑现全年支持资金时，需扣除已获得2024年一季度科技服务业</w:t>
      </w:r>
      <w:r>
        <w:rPr>
          <w:rFonts w:hint="eastAsia"/>
          <w:lang w:eastAsia="zh-CN"/>
        </w:rPr>
        <w:t>营收</w:t>
      </w:r>
      <w:r>
        <w:rPr>
          <w:rFonts w:hint="eastAsia"/>
        </w:rPr>
        <w:t>增长支持资金部分。</w:t>
      </w:r>
    </w:p>
    <w:p>
      <w:pPr>
        <w:pStyle w:val="2"/>
        <w:spacing w:after="0" w:line="560" w:lineRule="exact"/>
        <w:ind w:firstLine="640" w:firstLineChars="200"/>
        <w:rPr>
          <w:rFonts w:hint="eastAsia"/>
        </w:rPr>
      </w:pPr>
      <w:r>
        <w:rPr>
          <w:rFonts w:hint="eastAsia"/>
        </w:rPr>
        <w:t>（四）对于2023年</w:t>
      </w:r>
      <w:r>
        <w:rPr>
          <w:rFonts w:hint="eastAsia"/>
          <w:lang w:eastAsia="zh-CN"/>
        </w:rPr>
        <w:t>（</w:t>
      </w:r>
      <w:r>
        <w:rPr>
          <w:rFonts w:hint="eastAsia"/>
          <w:lang w:val="en-US" w:eastAsia="zh-CN"/>
        </w:rPr>
        <w:t>1-11月</w:t>
      </w:r>
      <w:r>
        <w:rPr>
          <w:rFonts w:hint="eastAsia"/>
          <w:lang w:eastAsia="zh-CN"/>
        </w:rPr>
        <w:t>）科技服务业营收数据为</w:t>
      </w:r>
      <w:r>
        <w:rPr>
          <w:rFonts w:hint="eastAsia"/>
          <w:lang w:val="en-US" w:eastAsia="zh-CN"/>
        </w:rPr>
        <w:t>0</w:t>
      </w:r>
      <w:r>
        <w:rPr>
          <w:rFonts w:hint="eastAsia"/>
          <w:lang w:eastAsia="zh-CN"/>
        </w:rPr>
        <w:t>的企业，</w:t>
      </w:r>
      <w:r>
        <w:rPr>
          <w:rFonts w:hint="eastAsia"/>
          <w:lang w:val="en-US" w:eastAsia="zh-CN"/>
        </w:rPr>
        <w:t>2023年（1-11月）</w:t>
      </w:r>
      <w:r>
        <w:rPr>
          <w:rFonts w:hint="eastAsia"/>
          <w:lang w:eastAsia="zh-CN"/>
        </w:rPr>
        <w:t>科技服务业营收计算基数为</w:t>
      </w:r>
      <w:r>
        <w:rPr>
          <w:rFonts w:hint="eastAsia"/>
          <w:highlight w:val="none"/>
          <w:lang w:val="en-US" w:eastAsia="zh-CN"/>
        </w:rPr>
        <w:t>1000</w:t>
      </w:r>
      <w:r>
        <w:rPr>
          <w:rFonts w:hint="eastAsia"/>
          <w:lang w:val="en-US" w:eastAsia="zh-CN"/>
        </w:rPr>
        <w:t>万元。</w:t>
      </w:r>
    </w:p>
    <w:p>
      <w:pPr>
        <w:pStyle w:val="2"/>
        <w:spacing w:after="0" w:line="560" w:lineRule="exact"/>
        <w:ind w:firstLine="640" w:firstLineChars="200"/>
      </w:pPr>
      <w:r>
        <w:rPr>
          <w:rFonts w:hint="eastAsia" w:ascii="黑体" w:hAnsi="黑体" w:eastAsia="黑体" w:cs="黑体"/>
        </w:rPr>
        <w:t>五、申报材料及要求</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1.2024年全年科技服务业营收增长奖励申报表，在线填写；</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4.银行账户信息，下载模板填写，加盖公章，彩色扫描上传；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5.企业2024年11月《财务状况（F203表）》，统计联网直报系统导出，加盖公章，彩色扫描上传。</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eastAsia="仿宋_GB2312"/>
          <w:lang w:val="en-US" w:eastAsia="zh-CN"/>
        </w:rPr>
      </w:pPr>
      <w:r>
        <w:rPr>
          <w:rFonts w:hint="eastAsia" w:hAnsi="仿宋_GB2312" w:cs="仿宋_GB2312"/>
          <w:sz w:val="32"/>
          <w:szCs w:val="32"/>
          <w:lang w:val="en-US" w:eastAsia="zh-CN"/>
        </w:rPr>
        <w:t>6.若企业</w:t>
      </w:r>
      <w:r>
        <w:rPr>
          <w:rFonts w:hint="eastAsia"/>
        </w:rPr>
        <w:t>2023年</w:t>
      </w:r>
      <w:r>
        <w:rPr>
          <w:rFonts w:hint="eastAsia"/>
          <w:lang w:eastAsia="zh-CN"/>
        </w:rPr>
        <w:t>（</w:t>
      </w:r>
      <w:r>
        <w:rPr>
          <w:rFonts w:hint="eastAsia"/>
          <w:lang w:val="en-US" w:eastAsia="zh-CN"/>
        </w:rPr>
        <w:t>1-11月</w:t>
      </w:r>
      <w:r>
        <w:rPr>
          <w:rFonts w:hint="eastAsia"/>
          <w:lang w:eastAsia="zh-CN"/>
        </w:rPr>
        <w:t>）科技服务业营收数据为</w:t>
      </w:r>
      <w:r>
        <w:rPr>
          <w:rFonts w:hint="eastAsia"/>
          <w:lang w:val="en-US" w:eastAsia="zh-CN"/>
        </w:rPr>
        <w:t>0</w:t>
      </w:r>
      <w:bookmarkStart w:id="0" w:name="_GoBack"/>
      <w:bookmarkEnd w:id="0"/>
      <w:r>
        <w:rPr>
          <w:rFonts w:hint="eastAsia" w:ascii="仿宋_GB2312" w:hAnsi="仿宋_GB2312" w:eastAsia="仿宋_GB2312" w:cs="仿宋_GB2312"/>
          <w:spacing w:val="6"/>
          <w:sz w:val="32"/>
          <w:szCs w:val="32"/>
        </w:rPr>
        <w:t>，需提供说明文件并加盖公章。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8"/>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：经开区科技和产业促进局对申报材料进行实质审核。</w:t>
      </w:r>
    </w:p>
    <w:p>
      <w:pPr>
        <w:pStyle w:val="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：经开区科技和产业促进局对审核通过的申报主体拟定兑现扶持奖励金额。</w:t>
      </w:r>
    </w:p>
    <w:p>
      <w:pPr>
        <w:pStyle w:val="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：经开区科技和产业促进局通过政策兑现综合服务平台对审核通过的申报主体进行公示。</w:t>
      </w:r>
    </w:p>
    <w:p>
      <w:pPr>
        <w:pStyle w:val="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sz w:val="32"/>
          <w:szCs w:val="32"/>
        </w:rPr>
        <w:t>科技和产业促进局</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2025年2月10日至2025年2月21日</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rPr>
          <w:rFonts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区科技和产业促进局，联系电话：010-67881766、010-67881585，工作日上午9:00—12:00，下午2:00—6:00。</w:t>
      </w:r>
    </w:p>
    <w:p>
      <w:pPr>
        <w:spacing w:line="560" w:lineRule="exact"/>
        <w:ind w:firstLine="640" w:firstLineChars="200"/>
        <w:rPr>
          <w:rFonts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F1"/>
    <w:rsid w:val="0001192B"/>
    <w:rsid w:val="00060052"/>
    <w:rsid w:val="00062C5F"/>
    <w:rsid w:val="000F62F2"/>
    <w:rsid w:val="001145E7"/>
    <w:rsid w:val="00161422"/>
    <w:rsid w:val="00161CCE"/>
    <w:rsid w:val="00185C95"/>
    <w:rsid w:val="002838D9"/>
    <w:rsid w:val="00360EF1"/>
    <w:rsid w:val="00395968"/>
    <w:rsid w:val="00457B4D"/>
    <w:rsid w:val="006A1513"/>
    <w:rsid w:val="006D0140"/>
    <w:rsid w:val="00710378"/>
    <w:rsid w:val="00731CA2"/>
    <w:rsid w:val="0080792A"/>
    <w:rsid w:val="00844BDB"/>
    <w:rsid w:val="00900A14"/>
    <w:rsid w:val="00923A77"/>
    <w:rsid w:val="0098077A"/>
    <w:rsid w:val="00A3406B"/>
    <w:rsid w:val="00B74D80"/>
    <w:rsid w:val="00C122AB"/>
    <w:rsid w:val="00D460B2"/>
    <w:rsid w:val="00D668C9"/>
    <w:rsid w:val="00D76185"/>
    <w:rsid w:val="00D85A9F"/>
    <w:rsid w:val="00DA6D25"/>
    <w:rsid w:val="00EA199B"/>
    <w:rsid w:val="00FD5E52"/>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A242F1"/>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0622FE"/>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5D1BF6"/>
    <w:rsid w:val="178B447A"/>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B79A1C"/>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21755"/>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251611"/>
    <w:rsid w:val="26446E71"/>
    <w:rsid w:val="26602BD3"/>
    <w:rsid w:val="26607CC2"/>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2B1094"/>
    <w:rsid w:val="336A1FD6"/>
    <w:rsid w:val="336B64D8"/>
    <w:rsid w:val="33E75D8A"/>
    <w:rsid w:val="33EE3BA2"/>
    <w:rsid w:val="341807F9"/>
    <w:rsid w:val="342465E2"/>
    <w:rsid w:val="3469157A"/>
    <w:rsid w:val="347C0671"/>
    <w:rsid w:val="34B21D2C"/>
    <w:rsid w:val="34E04A84"/>
    <w:rsid w:val="34E65163"/>
    <w:rsid w:val="35135498"/>
    <w:rsid w:val="35465824"/>
    <w:rsid w:val="354F42BD"/>
    <w:rsid w:val="3573124D"/>
    <w:rsid w:val="359527A9"/>
    <w:rsid w:val="35B56B4B"/>
    <w:rsid w:val="363700E5"/>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37815"/>
    <w:rsid w:val="39A60AA5"/>
    <w:rsid w:val="39C93AF0"/>
    <w:rsid w:val="39DF8437"/>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D986CF"/>
    <w:rsid w:val="3EE438FE"/>
    <w:rsid w:val="3EF468CE"/>
    <w:rsid w:val="3F087986"/>
    <w:rsid w:val="3F2328C1"/>
    <w:rsid w:val="3F31781F"/>
    <w:rsid w:val="3F346049"/>
    <w:rsid w:val="3F3D4664"/>
    <w:rsid w:val="3F3F1679"/>
    <w:rsid w:val="3F580B78"/>
    <w:rsid w:val="3FAC6CD0"/>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79A7FC"/>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6F0D6E"/>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DB666E"/>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CEA433"/>
    <w:rsid w:val="5DFA426F"/>
    <w:rsid w:val="5E60221A"/>
    <w:rsid w:val="5E852B06"/>
    <w:rsid w:val="5EBB0773"/>
    <w:rsid w:val="5EC9424F"/>
    <w:rsid w:val="5F3F6EB7"/>
    <w:rsid w:val="5F595787"/>
    <w:rsid w:val="5F8D1C46"/>
    <w:rsid w:val="5F95EE61"/>
    <w:rsid w:val="5FBD03D0"/>
    <w:rsid w:val="5FE50B69"/>
    <w:rsid w:val="5FF83CA0"/>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B78093"/>
    <w:rsid w:val="68E479A1"/>
    <w:rsid w:val="6A77609A"/>
    <w:rsid w:val="6A7C3B1B"/>
    <w:rsid w:val="6A9153AF"/>
    <w:rsid w:val="6A9A5399"/>
    <w:rsid w:val="6B3F3AAD"/>
    <w:rsid w:val="6B7CC616"/>
    <w:rsid w:val="6B891093"/>
    <w:rsid w:val="6BA55CDC"/>
    <w:rsid w:val="6BB7AC30"/>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A65E7"/>
    <w:rsid w:val="6D5B79BC"/>
    <w:rsid w:val="6DCF4058"/>
    <w:rsid w:val="6DE9238A"/>
    <w:rsid w:val="6DFC3C93"/>
    <w:rsid w:val="6E2B147B"/>
    <w:rsid w:val="6E33263A"/>
    <w:rsid w:val="6E3A4154"/>
    <w:rsid w:val="6E893371"/>
    <w:rsid w:val="6E8C71B7"/>
    <w:rsid w:val="6EA731B5"/>
    <w:rsid w:val="6EB6086C"/>
    <w:rsid w:val="6EC648DD"/>
    <w:rsid w:val="6EEF0E38"/>
    <w:rsid w:val="6F0C63B7"/>
    <w:rsid w:val="6F345206"/>
    <w:rsid w:val="6F941165"/>
    <w:rsid w:val="6F9D2D94"/>
    <w:rsid w:val="6FBC2D32"/>
    <w:rsid w:val="70007B47"/>
    <w:rsid w:val="701E1815"/>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BF9935"/>
    <w:rsid w:val="76DD66F2"/>
    <w:rsid w:val="76EC6FC3"/>
    <w:rsid w:val="770B2702"/>
    <w:rsid w:val="7718563E"/>
    <w:rsid w:val="776A3F9A"/>
    <w:rsid w:val="77901978"/>
    <w:rsid w:val="77915027"/>
    <w:rsid w:val="779D4F4D"/>
    <w:rsid w:val="77CE7C8C"/>
    <w:rsid w:val="77CF1648"/>
    <w:rsid w:val="781D2C7A"/>
    <w:rsid w:val="783A56AF"/>
    <w:rsid w:val="78413BD7"/>
    <w:rsid w:val="788F717D"/>
    <w:rsid w:val="78915F29"/>
    <w:rsid w:val="78A77DB4"/>
    <w:rsid w:val="78B31BDE"/>
    <w:rsid w:val="78E70DA1"/>
    <w:rsid w:val="78F21850"/>
    <w:rsid w:val="791B03AB"/>
    <w:rsid w:val="792F94A5"/>
    <w:rsid w:val="795AA22A"/>
    <w:rsid w:val="79714C66"/>
    <w:rsid w:val="79D31F15"/>
    <w:rsid w:val="79D657CC"/>
    <w:rsid w:val="79E40A04"/>
    <w:rsid w:val="7A151811"/>
    <w:rsid w:val="7B201A3E"/>
    <w:rsid w:val="7B3C52F1"/>
    <w:rsid w:val="7B9D0472"/>
    <w:rsid w:val="7BA046F3"/>
    <w:rsid w:val="7BBA356A"/>
    <w:rsid w:val="7BC37346"/>
    <w:rsid w:val="7BE71A21"/>
    <w:rsid w:val="7BEF2C60"/>
    <w:rsid w:val="7BF87E00"/>
    <w:rsid w:val="7BFFF723"/>
    <w:rsid w:val="7C064DA7"/>
    <w:rsid w:val="7C0A2379"/>
    <w:rsid w:val="7C551636"/>
    <w:rsid w:val="7C5F3CF1"/>
    <w:rsid w:val="7C697AB1"/>
    <w:rsid w:val="7CB460B3"/>
    <w:rsid w:val="7CD445C4"/>
    <w:rsid w:val="7CE372FC"/>
    <w:rsid w:val="7CED17F8"/>
    <w:rsid w:val="7CF17B62"/>
    <w:rsid w:val="7D274421"/>
    <w:rsid w:val="7D3D452B"/>
    <w:rsid w:val="7D957EE1"/>
    <w:rsid w:val="7DEEA775"/>
    <w:rsid w:val="7DFC4CA2"/>
    <w:rsid w:val="7E137B54"/>
    <w:rsid w:val="7E4E0E62"/>
    <w:rsid w:val="7E503B32"/>
    <w:rsid w:val="7E6B7B24"/>
    <w:rsid w:val="7E757D8F"/>
    <w:rsid w:val="7E782A8A"/>
    <w:rsid w:val="7EBBE1F8"/>
    <w:rsid w:val="7EEE5581"/>
    <w:rsid w:val="7EFFFA7B"/>
    <w:rsid w:val="7F7F77AD"/>
    <w:rsid w:val="7FC14E2C"/>
    <w:rsid w:val="7FDBC790"/>
    <w:rsid w:val="7FFB938D"/>
    <w:rsid w:val="8FCF4535"/>
    <w:rsid w:val="9F3BC8FA"/>
    <w:rsid w:val="9F6F6015"/>
    <w:rsid w:val="9FC7CCDF"/>
    <w:rsid w:val="ADFF451A"/>
    <w:rsid w:val="B43F5634"/>
    <w:rsid w:val="BCE4FCBF"/>
    <w:rsid w:val="C7DB93C8"/>
    <w:rsid w:val="C7FFE5CF"/>
    <w:rsid w:val="CF97D084"/>
    <w:rsid w:val="DD7E7DC7"/>
    <w:rsid w:val="DE7F2194"/>
    <w:rsid w:val="DEF5E07B"/>
    <w:rsid w:val="E5FDC9EA"/>
    <w:rsid w:val="E6D371D5"/>
    <w:rsid w:val="E7DFB1E5"/>
    <w:rsid w:val="EA53580D"/>
    <w:rsid w:val="EAE14953"/>
    <w:rsid w:val="EB5B2B51"/>
    <w:rsid w:val="EF63F43C"/>
    <w:rsid w:val="EF7F5DB2"/>
    <w:rsid w:val="EFEEB9E2"/>
    <w:rsid w:val="EFFAC711"/>
    <w:rsid w:val="F5DBA8FA"/>
    <w:rsid w:val="F75E5440"/>
    <w:rsid w:val="F7AE32F0"/>
    <w:rsid w:val="F7EF31E4"/>
    <w:rsid w:val="FBD5B9DF"/>
    <w:rsid w:val="FBFF82E3"/>
    <w:rsid w:val="FC7FAFF5"/>
    <w:rsid w:val="FEFD5981"/>
    <w:rsid w:val="FF341A5F"/>
    <w:rsid w:val="FF9A82EF"/>
    <w:rsid w:val="FFEF3370"/>
    <w:rsid w:val="FFF73784"/>
    <w:rsid w:val="FFF926ED"/>
    <w:rsid w:val="FFFBA9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420"/>
    </w:pPr>
    <w:rPr>
      <w:rFonts w:ascii="仿宋_GB2312" w:eastAsia="仿宋_GB2312" w:cs="仿宋_GB2312"/>
      <w:sz w:val="32"/>
      <w:szCs w:val="32"/>
    </w:rPr>
  </w:style>
  <w:style w:type="paragraph" w:styleId="3">
    <w:name w:val="Body Text Indent"/>
    <w:basedOn w:val="1"/>
    <w:next w:val="2"/>
    <w:qFormat/>
    <w:uiPriority w:val="99"/>
    <w:pPr>
      <w:spacing w:after="120"/>
      <w:ind w:left="420" w:leftChars="200"/>
    </w:pPr>
  </w:style>
  <w:style w:type="paragraph" w:styleId="4">
    <w:name w:val="annotation text"/>
    <w:basedOn w:val="1"/>
    <w:qFormat/>
    <w:uiPriority w:val="0"/>
    <w:pPr>
      <w:jc w:val="left"/>
    </w:pPr>
  </w:style>
  <w:style w:type="paragraph" w:styleId="5">
    <w:name w:val="Body Text"/>
    <w:basedOn w:val="1"/>
    <w:qFormat/>
    <w:uiPriority w:val="1"/>
    <w:rPr>
      <w:rFonts w:ascii="仿宋_GB2312" w:hAnsi="仿宋_GB2312" w:eastAsia="仿宋_GB2312" w:cs="仿宋_GB2312"/>
      <w:sz w:val="32"/>
      <w:szCs w:val="32"/>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234</Words>
  <Characters>1339</Characters>
  <Lines>11</Lines>
  <Paragraphs>3</Paragraphs>
  <TotalTime>8</TotalTime>
  <ScaleCrop>false</ScaleCrop>
  <LinksUpToDate>false</LinksUpToDate>
  <CharactersWithSpaces>1570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2025-01-24T03:44:00Z</dcterms:created>
  <dc:creator>zkk</dc:creator>
  <cp:lastModifiedBy>bda</cp:lastModifiedBy>
  <cp:lastPrinted>2024-04-17T00:21:00Z</cp:lastPrinted>
  <dcterms:modified xsi:type="dcterms:W3CDTF">2025-01-24T09:26:02Z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D0C6CB4D3DD449CF9F01DB31742842FE</vt:lpwstr>
  </property>
</Properties>
</file>