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5A7D" w14:textId="77777777" w:rsidR="00566E65" w:rsidRDefault="00566E65" w:rsidP="00566E65">
      <w:pPr>
        <w:pStyle w:val="a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</w:p>
    <w:p w14:paraId="05844D8D" w14:textId="77777777" w:rsidR="00566E65" w:rsidRDefault="00566E65" w:rsidP="00566E65">
      <w:pPr>
        <w:pStyle w:val="a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xx项目方案</w:t>
      </w:r>
    </w:p>
    <w:p w14:paraId="3F9FC010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一、项目背景</w:t>
      </w:r>
    </w:p>
    <w:p w14:paraId="6E97F53C" w14:textId="77777777" w:rsidR="00566E65" w:rsidRDefault="00566E65" w:rsidP="00566E65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（一）项目承担单位介绍</w:t>
      </w:r>
    </w:p>
    <w:p w14:paraId="56A7ED51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项目往期工作</w:t>
      </w:r>
      <w:proofErr w:type="gramEnd"/>
    </w:p>
    <w:p w14:paraId="03481346" w14:textId="77777777" w:rsidR="00566E65" w:rsidRDefault="00566E65" w:rsidP="00566E65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（三）工作目的及意义</w:t>
      </w:r>
    </w:p>
    <w:p w14:paraId="7F18058B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二、项目介绍（内容仅供参考）</w:t>
      </w:r>
    </w:p>
    <w:p w14:paraId="5799B0A4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（一）主办及合作单位</w:t>
      </w:r>
    </w:p>
    <w:p w14:paraId="3E1A59D2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（二）活动时间</w:t>
      </w:r>
    </w:p>
    <w:p w14:paraId="13F4A9C1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（三）活动地点</w:t>
      </w:r>
    </w:p>
    <w:p w14:paraId="2C210A23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（四）活动形式</w:t>
      </w:r>
    </w:p>
    <w:p w14:paraId="0A8E9CF6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（五）活动面向对象及规模</w:t>
      </w:r>
    </w:p>
    <w:p w14:paraId="1C283E58" w14:textId="77777777" w:rsidR="00566E65" w:rsidRDefault="00566E65" w:rsidP="00566E65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（六）活动内容</w:t>
      </w:r>
    </w:p>
    <w:p w14:paraId="4EEC798E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（七）宣传渠道</w:t>
      </w:r>
    </w:p>
    <w:p w14:paraId="61001047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（八）人员安排</w:t>
      </w:r>
    </w:p>
    <w:p w14:paraId="5A7D6FDF" w14:textId="77777777" w:rsidR="00566E65" w:rsidRDefault="00566E65" w:rsidP="00566E65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（九）项目预期成果</w:t>
      </w:r>
    </w:p>
    <w:p w14:paraId="1939B66D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（十）其他</w:t>
      </w:r>
    </w:p>
    <w:p w14:paraId="5618231A" w14:textId="77777777" w:rsidR="00566E65" w:rsidRDefault="00566E65" w:rsidP="00566E65">
      <w:pPr>
        <w:pStyle w:val="1"/>
        <w:spacing w:line="560" w:lineRule="exact"/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sectPr w:rsidR="00566E65" w:rsidSect="00566E65">
          <w:pgSz w:w="11906" w:h="16838"/>
          <w:pgMar w:top="2098" w:right="1474" w:bottom="1814" w:left="1587" w:header="851" w:footer="992" w:gutter="0"/>
          <w:pgNumType w:fmt="numberInDash"/>
          <w:cols w:space="425"/>
          <w:docGrid w:type="lines" w:linePitch="312"/>
        </w:sectPr>
      </w:pPr>
    </w:p>
    <w:p w14:paraId="77077C6D" w14:textId="77777777" w:rsidR="00566E65" w:rsidRDefault="00566E65" w:rsidP="00566E65"/>
    <w:p w14:paraId="753D5595" w14:textId="77777777" w:rsidR="00566E65" w:rsidRDefault="00566E65" w:rsidP="00566E65">
      <w:pPr>
        <w:pStyle w:val="1"/>
        <w:spacing w:line="560" w:lineRule="exact"/>
        <w:jc w:val="center"/>
        <w:rPr>
          <w:rFonts w:ascii="方正小标宋_GBK" w:eastAsia="方正小标宋_GBK" w:hAnsi="方正小标宋_GBK" w:cs="方正小标宋_GBK" w:hint="eastAsia"/>
          <w:b/>
          <w:szCs w:val="44"/>
        </w:rPr>
      </w:pPr>
      <w:r>
        <w:rPr>
          <w:rFonts w:ascii="方正小标宋_GBK" w:eastAsia="方正小标宋_GBK" w:hAnsi="方正小标宋_GBK" w:cs="方正小标宋_GBK" w:hint="eastAsia"/>
          <w:szCs w:val="44"/>
        </w:rPr>
        <w:t>科幻复合型人才培养计划资金管理办法</w:t>
      </w:r>
    </w:p>
    <w:p w14:paraId="4D093C39" w14:textId="77777777" w:rsidR="00566E65" w:rsidRDefault="00566E65" w:rsidP="00566E65">
      <w:pPr>
        <w:spacing w:line="560" w:lineRule="exact"/>
        <w:jc w:val="center"/>
        <w:rPr>
          <w:rFonts w:ascii="楷体_GB2312" w:eastAsia="楷体_GB2312" w:hAnsi="方正大标宋简体" w:hint="eastAsia"/>
          <w:sz w:val="32"/>
          <w:szCs w:val="24"/>
        </w:rPr>
      </w:pPr>
    </w:p>
    <w:p w14:paraId="765843BA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第一条  </w:t>
      </w:r>
      <w:r>
        <w:rPr>
          <w:rFonts w:ascii="仿宋_GB2312" w:eastAsia="仿宋_GB2312" w:hAnsi="仿宋" w:hint="eastAsia"/>
          <w:kern w:val="0"/>
          <w:sz w:val="32"/>
          <w:szCs w:val="24"/>
        </w:rPr>
        <w:t>为规范</w:t>
      </w:r>
      <w:proofErr w:type="gramStart"/>
      <w:r>
        <w:rPr>
          <w:rFonts w:ascii="仿宋_GB2312" w:eastAsia="仿宋_GB2312" w:hAnsi="仿宋" w:hint="eastAsia"/>
          <w:kern w:val="0"/>
          <w:sz w:val="32"/>
          <w:szCs w:val="24"/>
        </w:rPr>
        <w:t>科幻专项</w:t>
      </w:r>
      <w:proofErr w:type="gramEnd"/>
      <w:r>
        <w:rPr>
          <w:rFonts w:ascii="仿宋_GB2312" w:eastAsia="仿宋_GB2312" w:hAnsi="仿宋" w:hint="eastAsia"/>
          <w:kern w:val="0"/>
          <w:sz w:val="32"/>
          <w:szCs w:val="24"/>
        </w:rPr>
        <w:t>支持项目资金管理，提高资金使用效益，根据国家、北京市相关文件精神，结合本项目实际情况，制定本办法。</w:t>
      </w:r>
    </w:p>
    <w:p w14:paraId="332B1B6D" w14:textId="77777777" w:rsidR="00566E65" w:rsidRDefault="00566E65" w:rsidP="00566E65">
      <w:pPr>
        <w:spacing w:line="560" w:lineRule="exact"/>
        <w:ind w:firstLineChars="200" w:firstLine="640"/>
        <w:rPr>
          <w:rFonts w:ascii="仿宋" w:eastAsia="仿宋" w:hAnsi="仿宋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第二条  </w:t>
      </w:r>
      <w:r>
        <w:rPr>
          <w:rFonts w:ascii="仿宋_GB2312" w:eastAsia="仿宋_GB2312" w:hAnsi="仿宋" w:hint="eastAsia"/>
          <w:kern w:val="0"/>
          <w:sz w:val="32"/>
          <w:szCs w:val="24"/>
        </w:rPr>
        <w:t>项目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实施采取“统一标准，公平公正，普惠扶持，择优竞争，重视管理，追绩问效”的方式进行。</w:t>
      </w:r>
    </w:p>
    <w:p w14:paraId="17C7EAF5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第三条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资金按照定额资助，事前资助方式进行。获得资金资助的单位应将资助资金纳入单位财务统一管理，实行单独核算，确保专款专用，不得截留、挤占和挪用。</w:t>
      </w:r>
    </w:p>
    <w:p w14:paraId="6B8D81FB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第四条  </w:t>
      </w:r>
      <w:r>
        <w:rPr>
          <w:rFonts w:ascii="仿宋_GB2312" w:eastAsia="仿宋_GB2312" w:hAnsi="仿宋" w:hint="eastAsia"/>
          <w:kern w:val="0"/>
          <w:sz w:val="32"/>
          <w:szCs w:val="24"/>
        </w:rPr>
        <w:t>项目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资助额度根据年度预算经费额度确定，支持</w:t>
      </w:r>
      <w:r>
        <w:rPr>
          <w:rFonts w:ascii="仿宋_GB2312" w:eastAsia="仿宋_GB2312" w:hAnsi="仿宋_GB2312" w:hint="eastAsia"/>
          <w:sz w:val="32"/>
          <w:szCs w:val="24"/>
        </w:rPr>
        <w:t>开展科幻主题活动、科幻资源创作等工作</w:t>
      </w:r>
      <w:r>
        <w:rPr>
          <w:rFonts w:ascii="仿宋_GB2312" w:eastAsia="仿宋_GB2312" w:hAnsi="仿宋" w:hint="eastAsia"/>
          <w:sz w:val="32"/>
          <w:szCs w:val="24"/>
        </w:rPr>
        <w:t>。</w:t>
      </w:r>
    </w:p>
    <w:p w14:paraId="2EC0773E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第五条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资金的支出范围包括：</w:t>
      </w:r>
    </w:p>
    <w:p w14:paraId="28AB3F25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（一）活动费。包括培训讲座费、展览活动费等。其中，培训讲座费是指为开展培训讲座过程中发生的聘请师资、租赁场地和设备、培训资料、伙食等费用；展览活动费是</w:t>
      </w:r>
      <w:proofErr w:type="gramStart"/>
      <w:r>
        <w:rPr>
          <w:rFonts w:ascii="仿宋_GB2312" w:eastAsia="仿宋_GB2312" w:hAnsi="仿宋_GB2312" w:hint="eastAsia"/>
          <w:kern w:val="0"/>
          <w:sz w:val="32"/>
          <w:szCs w:val="24"/>
        </w:rPr>
        <w:t>指举办</w:t>
      </w:r>
      <w:proofErr w:type="gramEnd"/>
      <w:r>
        <w:rPr>
          <w:rFonts w:ascii="仿宋_GB2312" w:eastAsia="仿宋_GB2312" w:hAnsi="仿宋_GB2312" w:hint="eastAsia"/>
          <w:kern w:val="0"/>
          <w:sz w:val="32"/>
          <w:szCs w:val="24"/>
        </w:rPr>
        <w:t>科幻宣传、展览等活动过程中发生的场地和设备租赁、搭建、运输、宣传和劳务等费用。</w:t>
      </w:r>
    </w:p>
    <w:p w14:paraId="4CA23C11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（二）资源经费。包括资料费、制作费等。其中，资料费是指为开展科幻活动所需购买或制作图书、音像资料、宣传资料等纸质及数字化材料发生的费用；制作费是指视频、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lastRenderedPageBreak/>
        <w:t>动漫、IP设计等编创与制作过程中所发生的设备租赁、道具制作与租赁、搭建、运输等费用。</w:t>
      </w:r>
    </w:p>
    <w:p w14:paraId="06E738E9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（三）其他费用。是指除上述各项费用支出以外的、开展科幻工作过程中所发生的相关费用。</w:t>
      </w:r>
    </w:p>
    <w:p w14:paraId="6F7F0939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第六条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资金不得用于以下支出：</w:t>
      </w:r>
    </w:p>
    <w:p w14:paraId="7791D3F4" w14:textId="77777777" w:rsidR="00566E65" w:rsidRDefault="00566E65" w:rsidP="00566E65">
      <w:pPr>
        <w:spacing w:line="560" w:lineRule="exact"/>
        <w:ind w:firstLineChars="200" w:firstLine="640"/>
        <w:outlineLvl w:val="0"/>
        <w:rPr>
          <w:rFonts w:ascii="仿宋_GB2312" w:eastAsia="仿宋_GB2312" w:hAnsi="仿宋_GB2312" w:hint="eastAsia"/>
          <w:kern w:val="0"/>
          <w:sz w:val="32"/>
          <w:szCs w:val="24"/>
        </w:rPr>
      </w:pPr>
      <w:bookmarkStart w:id="0" w:name="_Toc6040"/>
      <w:r>
        <w:rPr>
          <w:rFonts w:ascii="仿宋_GB2312" w:eastAsia="仿宋_GB2312" w:hAnsi="仿宋_GB2312" w:hint="eastAsia"/>
          <w:kern w:val="0"/>
          <w:sz w:val="32"/>
          <w:szCs w:val="24"/>
        </w:rPr>
        <w:t>（一）人员工资、福利和个人奖金支出。</w:t>
      </w:r>
      <w:bookmarkEnd w:id="0"/>
    </w:p>
    <w:p w14:paraId="307D2869" w14:textId="77777777" w:rsidR="00566E65" w:rsidRDefault="00566E65" w:rsidP="00566E65">
      <w:pPr>
        <w:spacing w:line="560" w:lineRule="exact"/>
        <w:ind w:firstLineChars="200" w:firstLine="640"/>
        <w:outlineLvl w:val="0"/>
        <w:rPr>
          <w:rFonts w:ascii="仿宋_GB2312" w:eastAsia="仿宋_GB2312" w:hAnsi="仿宋_GB2312" w:hint="eastAsia"/>
          <w:kern w:val="0"/>
          <w:sz w:val="32"/>
          <w:szCs w:val="24"/>
        </w:rPr>
      </w:pPr>
      <w:bookmarkStart w:id="1" w:name="_Toc9400"/>
      <w:r>
        <w:rPr>
          <w:rFonts w:ascii="仿宋_GB2312" w:eastAsia="仿宋_GB2312" w:hAnsi="仿宋_GB2312" w:hint="eastAsia"/>
          <w:kern w:val="0"/>
          <w:sz w:val="32"/>
          <w:szCs w:val="24"/>
        </w:rPr>
        <w:t>（二）日常办公、出国和业务招待支出。</w:t>
      </w:r>
      <w:bookmarkEnd w:id="1"/>
    </w:p>
    <w:p w14:paraId="4C8405DB" w14:textId="77777777" w:rsidR="00566E65" w:rsidRDefault="00566E65" w:rsidP="00566E65">
      <w:pPr>
        <w:spacing w:line="560" w:lineRule="exact"/>
        <w:ind w:firstLineChars="200" w:firstLine="640"/>
        <w:outlineLvl w:val="0"/>
        <w:rPr>
          <w:rFonts w:ascii="仿宋_GB2312" w:eastAsia="仿宋_GB2312" w:hAnsi="仿宋_GB2312" w:hint="eastAsia"/>
          <w:kern w:val="0"/>
          <w:sz w:val="32"/>
          <w:szCs w:val="24"/>
        </w:rPr>
      </w:pPr>
      <w:bookmarkStart w:id="2" w:name="_Toc26844"/>
      <w:r>
        <w:rPr>
          <w:rFonts w:ascii="仿宋_GB2312" w:eastAsia="仿宋_GB2312" w:hAnsi="仿宋_GB2312" w:hint="eastAsia"/>
          <w:kern w:val="0"/>
          <w:sz w:val="32"/>
          <w:szCs w:val="24"/>
        </w:rPr>
        <w:t>（三）办公设备设施的维修改造、新增办公设备支出。</w:t>
      </w:r>
      <w:bookmarkEnd w:id="2"/>
    </w:p>
    <w:p w14:paraId="7FE187DC" w14:textId="77777777" w:rsidR="00566E65" w:rsidRDefault="00566E65" w:rsidP="00566E65">
      <w:pPr>
        <w:spacing w:line="560" w:lineRule="exact"/>
        <w:ind w:firstLineChars="200" w:firstLine="640"/>
        <w:outlineLvl w:val="0"/>
        <w:rPr>
          <w:rFonts w:ascii="仿宋_GB2312" w:eastAsia="仿宋_GB2312" w:hAnsi="仿宋_GB2312" w:hint="eastAsia"/>
          <w:kern w:val="0"/>
          <w:sz w:val="32"/>
          <w:szCs w:val="24"/>
        </w:rPr>
      </w:pPr>
      <w:bookmarkStart w:id="3" w:name="_Toc23066"/>
      <w:r>
        <w:rPr>
          <w:rFonts w:ascii="仿宋_GB2312" w:eastAsia="仿宋_GB2312" w:hAnsi="仿宋_GB2312" w:hint="eastAsia"/>
          <w:kern w:val="0"/>
          <w:sz w:val="32"/>
          <w:szCs w:val="24"/>
        </w:rPr>
        <w:t>（四）组织、管理和协调等各种管理性费用支出。</w:t>
      </w:r>
      <w:bookmarkEnd w:id="3"/>
    </w:p>
    <w:p w14:paraId="0A25F2F1" w14:textId="77777777" w:rsidR="00566E65" w:rsidRDefault="00566E65" w:rsidP="00566E65">
      <w:pPr>
        <w:spacing w:line="560" w:lineRule="exact"/>
        <w:ind w:firstLineChars="200" w:firstLine="640"/>
        <w:outlineLvl w:val="0"/>
        <w:rPr>
          <w:rFonts w:ascii="仿宋_GB2312" w:eastAsia="仿宋_GB2312" w:hAnsi="仿宋_GB2312" w:hint="eastAsia"/>
          <w:kern w:val="0"/>
          <w:sz w:val="32"/>
          <w:szCs w:val="24"/>
        </w:rPr>
      </w:pPr>
      <w:bookmarkStart w:id="4" w:name="_Toc3285"/>
      <w:r>
        <w:rPr>
          <w:rFonts w:ascii="仿宋_GB2312" w:eastAsia="仿宋_GB2312" w:hAnsi="仿宋_GB2312" w:hint="eastAsia"/>
          <w:kern w:val="0"/>
          <w:sz w:val="32"/>
          <w:szCs w:val="24"/>
        </w:rPr>
        <w:t>（五）罚款、还贷、捐赠、赞助、对外投资支出。</w:t>
      </w:r>
      <w:bookmarkEnd w:id="4"/>
    </w:p>
    <w:p w14:paraId="6CE5D04E" w14:textId="77777777" w:rsidR="00566E65" w:rsidRDefault="00566E65" w:rsidP="00566E65">
      <w:pPr>
        <w:spacing w:line="560" w:lineRule="exact"/>
        <w:ind w:firstLineChars="200" w:firstLine="640"/>
        <w:outlineLvl w:val="0"/>
        <w:rPr>
          <w:rFonts w:ascii="仿宋_GB2312" w:eastAsia="仿宋_GB2312" w:hAnsi="仿宋_GB2312" w:hint="eastAsia"/>
          <w:kern w:val="0"/>
          <w:sz w:val="32"/>
          <w:szCs w:val="24"/>
        </w:rPr>
      </w:pPr>
      <w:bookmarkStart w:id="5" w:name="_Toc25333"/>
      <w:r>
        <w:rPr>
          <w:rFonts w:ascii="仿宋_GB2312" w:eastAsia="仿宋_GB2312" w:hAnsi="仿宋_GB2312" w:hint="eastAsia"/>
          <w:kern w:val="0"/>
          <w:sz w:val="32"/>
          <w:szCs w:val="24"/>
        </w:rPr>
        <w:t>（六）</w:t>
      </w:r>
      <w:r>
        <w:rPr>
          <w:rFonts w:ascii="仿宋_GB2312" w:eastAsia="仿宋_GB2312" w:hAnsi="仿宋" w:hint="eastAsia"/>
          <w:kern w:val="0"/>
          <w:sz w:val="32"/>
          <w:szCs w:val="24"/>
        </w:rPr>
        <w:t>形成固定资产的设施设备支出。</w:t>
      </w:r>
      <w:bookmarkEnd w:id="5"/>
    </w:p>
    <w:p w14:paraId="4775287C" w14:textId="77777777" w:rsidR="00566E65" w:rsidRDefault="00566E65" w:rsidP="00566E65">
      <w:pPr>
        <w:spacing w:line="560" w:lineRule="exact"/>
        <w:ind w:firstLine="600"/>
        <w:outlineLvl w:val="0"/>
        <w:rPr>
          <w:rFonts w:ascii="仿宋_GB2312" w:eastAsia="仿宋_GB2312" w:hAnsi="仿宋" w:hint="eastAsia"/>
          <w:kern w:val="0"/>
          <w:sz w:val="32"/>
          <w:szCs w:val="24"/>
        </w:rPr>
      </w:pPr>
      <w:bookmarkStart w:id="6" w:name="_Toc20621"/>
      <w:r>
        <w:rPr>
          <w:rFonts w:ascii="仿宋_GB2312" w:eastAsia="仿宋_GB2312" w:hAnsi="仿宋" w:hint="eastAsia"/>
          <w:kern w:val="0"/>
          <w:sz w:val="32"/>
          <w:szCs w:val="24"/>
        </w:rPr>
        <w:t>（七）已获得本年度财政经费资助内容。</w:t>
      </w:r>
    </w:p>
    <w:p w14:paraId="749F0977" w14:textId="77777777" w:rsidR="00566E65" w:rsidRDefault="00566E65" w:rsidP="00566E65">
      <w:pPr>
        <w:spacing w:line="560" w:lineRule="exact"/>
        <w:ind w:firstLine="600"/>
        <w:outlineLvl w:val="0"/>
        <w:rPr>
          <w:rFonts w:ascii="仿宋_GB2312" w:eastAsia="仿宋_GB2312" w:hAnsi="宋体" w:hint="eastAsia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（八）与科幻活动无关的其他支出。</w:t>
      </w:r>
      <w:bookmarkEnd w:id="6"/>
    </w:p>
    <w:p w14:paraId="143B1411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第七条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项目资金预算的申报审核程序按照《北京科幻专项行动实施方案》规定的组织实施程序执行。</w:t>
      </w:r>
    </w:p>
    <w:p w14:paraId="397D9124" w14:textId="77777777" w:rsidR="00566E65" w:rsidRDefault="00566E65" w:rsidP="00566E65">
      <w:pPr>
        <w:spacing w:line="560" w:lineRule="exact"/>
        <w:ind w:firstLineChars="200" w:firstLine="640"/>
        <w:rPr>
          <w:rFonts w:ascii="仿宋" w:eastAsia="仿宋" w:hAnsi="仿宋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第八条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获得资金资助的单位，可以在资金中</w:t>
      </w:r>
      <w:proofErr w:type="gramStart"/>
      <w:r>
        <w:rPr>
          <w:rFonts w:ascii="仿宋_GB2312" w:eastAsia="仿宋_GB2312" w:hAnsi="仿宋_GB2312" w:hint="eastAsia"/>
          <w:kern w:val="0"/>
          <w:sz w:val="32"/>
          <w:szCs w:val="24"/>
        </w:rPr>
        <w:t>列支获</w:t>
      </w:r>
      <w:proofErr w:type="gramEnd"/>
      <w:r>
        <w:rPr>
          <w:rFonts w:ascii="仿宋_GB2312" w:eastAsia="仿宋_GB2312" w:hAnsi="仿宋_GB2312" w:hint="eastAsia"/>
          <w:kern w:val="0"/>
          <w:sz w:val="32"/>
          <w:szCs w:val="24"/>
        </w:rPr>
        <w:t>资助后年度内发生的费用，且获资助经费在年度内执行完毕。如有结余，北京市科协将收回结余经费。</w:t>
      </w:r>
    </w:p>
    <w:p w14:paraId="2135D810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第九条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获得资金资助的单位应当严格按照项目预算执行，不得自行调整。执行过程中确因实施条件与项目申报时发生重大变化需调整的，应当向北京市科协申请预算调整。</w:t>
      </w:r>
    </w:p>
    <w:p w14:paraId="29AEAA51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lastRenderedPageBreak/>
        <w:t xml:space="preserve">第十条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北京市科协对资金使用情况进行检查和监督，于年底前组织专家对项目绩效完成情况进行检查验收。</w:t>
      </w:r>
    </w:p>
    <w:p w14:paraId="2CC8AA5C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第十一条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有下列行为之一的，北京市科协将追回其相应资金，在后续三年内取消其申报资格，并依据《财政违法行为处罚处分条例》的规定提请有关部门进行处理。对于其他违法违规行为，由有关部门按照相关法律法规进行处理处分。</w:t>
      </w:r>
    </w:p>
    <w:p w14:paraId="293C6975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（一）提供虚假财务会计信息，虚列支出。</w:t>
      </w:r>
    </w:p>
    <w:p w14:paraId="0DA685C6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（二）截留、挤占、挪用资金。</w:t>
      </w:r>
    </w:p>
    <w:p w14:paraId="4866AF5B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（三）未对项目经费进行单独核算。</w:t>
      </w:r>
    </w:p>
    <w:p w14:paraId="26621944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（四）失职致使计划无法实施，造成不良影响。</w:t>
      </w:r>
    </w:p>
    <w:p w14:paraId="1C700C10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（五）无正当理由经费不能及时支付到用款单位和个人。</w:t>
      </w:r>
    </w:p>
    <w:p w14:paraId="118B8ACC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（六）擅自变更项目承担主体，未获北京市科协批准。</w:t>
      </w:r>
    </w:p>
    <w:p w14:paraId="31586470" w14:textId="77777777" w:rsidR="00566E65" w:rsidRDefault="00566E65" w:rsidP="00566E65">
      <w:pPr>
        <w:spacing w:line="560" w:lineRule="exact"/>
        <w:ind w:firstLineChars="200" w:firstLine="640"/>
      </w:pPr>
      <w:r>
        <w:rPr>
          <w:rFonts w:ascii="仿宋_GB2312" w:eastAsia="仿宋_GB2312" w:hAnsi="仿宋_GB2312" w:hint="eastAsia"/>
          <w:kern w:val="0"/>
          <w:sz w:val="32"/>
          <w:szCs w:val="24"/>
        </w:rPr>
        <w:t>（七）其他违反国家有关法律法规的行为。</w:t>
      </w:r>
    </w:p>
    <w:p w14:paraId="2711FC99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仿宋_GB2312" w:hint="eastAsia"/>
          <w:kern w:val="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第十二条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本办法由北京市科协负责解释。</w:t>
      </w:r>
    </w:p>
    <w:p w14:paraId="7814403C" w14:textId="77777777" w:rsidR="00566E65" w:rsidRDefault="00566E65" w:rsidP="00566E65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24"/>
        </w:rPr>
      </w:pPr>
      <w:r>
        <w:rPr>
          <w:rFonts w:ascii="黑体" w:eastAsia="黑体" w:hAnsi="黑体" w:hint="eastAsia"/>
          <w:kern w:val="0"/>
          <w:sz w:val="32"/>
          <w:szCs w:val="24"/>
        </w:rPr>
        <w:t xml:space="preserve">第十三条  </w:t>
      </w:r>
      <w:r>
        <w:rPr>
          <w:rFonts w:ascii="仿宋_GB2312" w:eastAsia="仿宋_GB2312" w:hAnsi="仿宋_GB2312" w:hint="eastAsia"/>
          <w:kern w:val="0"/>
          <w:sz w:val="32"/>
          <w:szCs w:val="24"/>
        </w:rPr>
        <w:t>本办法自发布之日起施行。</w:t>
      </w:r>
    </w:p>
    <w:p w14:paraId="1F540363" w14:textId="77777777" w:rsidR="005610BC" w:rsidRPr="00566E65" w:rsidRDefault="005610BC"/>
    <w:sectPr w:rsidR="005610BC" w:rsidRPr="0056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0C64" w14:textId="77777777" w:rsidR="008921AC" w:rsidRDefault="008921AC" w:rsidP="00566E6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504907" w14:textId="77777777" w:rsidR="008921AC" w:rsidRDefault="008921AC" w:rsidP="00566E6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微软雅黑"/>
    <w:charset w:val="86"/>
    <w:family w:val="auto"/>
    <w:pitch w:val="default"/>
    <w:sig w:usb0="00000000" w:usb1="00000000" w:usb2="00000000" w:usb3="00000000" w:csb0="00060007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D794" w14:textId="77777777" w:rsidR="008921AC" w:rsidRDefault="008921AC" w:rsidP="00566E6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38D839" w14:textId="77777777" w:rsidR="008921AC" w:rsidRDefault="008921AC" w:rsidP="00566E6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BC"/>
    <w:rsid w:val="00134DA0"/>
    <w:rsid w:val="005610BC"/>
    <w:rsid w:val="00566E65"/>
    <w:rsid w:val="008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3D3A9B-E56F-4E9E-B423-730D077D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66E65"/>
    <w:pPr>
      <w:widowControl w:val="0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5610BC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0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0B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0BC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0BC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0BC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0BC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0BC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0BC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61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61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61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61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61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561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61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61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610B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61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56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61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561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610BC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5610B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610BC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5610B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1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5610B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5610B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66E6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566E6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66E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566E65"/>
    <w:rPr>
      <w:sz w:val="18"/>
      <w:szCs w:val="18"/>
    </w:rPr>
  </w:style>
  <w:style w:type="paragraph" w:styleId="a0">
    <w:name w:val="Body Text"/>
    <w:basedOn w:val="a"/>
    <w:next w:val="a"/>
    <w:link w:val="af3"/>
    <w:unhideWhenUsed/>
    <w:qFormat/>
    <w:rsid w:val="00566E65"/>
    <w:pPr>
      <w:spacing w:line="360" w:lineRule="auto"/>
    </w:pPr>
    <w:rPr>
      <w:sz w:val="24"/>
      <w:szCs w:val="24"/>
    </w:rPr>
  </w:style>
  <w:style w:type="character" w:customStyle="1" w:styleId="af3">
    <w:name w:val="正文文本 字符"/>
    <w:basedOn w:val="a1"/>
    <w:link w:val="a0"/>
    <w:rsid w:val="00566E65"/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田</dc:creator>
  <cp:keywords/>
  <dc:description/>
  <cp:lastModifiedBy>猛 田</cp:lastModifiedBy>
  <cp:revision>2</cp:revision>
  <dcterms:created xsi:type="dcterms:W3CDTF">2025-01-13T02:57:00Z</dcterms:created>
  <dcterms:modified xsi:type="dcterms:W3CDTF">2025-01-13T02:57:00Z</dcterms:modified>
</cp:coreProperties>
</file>