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26"/>
          <w:tab w:val="left" w:pos="7580"/>
        </w:tabs>
        <w:kinsoku/>
        <w:wordWrap/>
        <w:overflowPunct/>
        <w:topLinePunct w:val="0"/>
        <w:autoSpaceDE/>
        <w:autoSpaceDN/>
        <w:bidi w:val="0"/>
        <w:adjustRightInd w:val="0"/>
        <w:snapToGrid w:val="0"/>
        <w:spacing w:line="520" w:lineRule="exact"/>
        <w:ind w:right="0" w:rightChars="0"/>
        <w:jc w:val="both"/>
        <w:textAlignment w:val="auto"/>
        <w:outlineLvl w:val="9"/>
        <w:rPr>
          <w:rStyle w:val="31"/>
          <w:rFonts w:hint="default" w:ascii="黑体" w:hAnsi="黑体" w:eastAsia="黑体" w:cs="黑体"/>
          <w:snapToGrid w:val="0"/>
          <w:spacing w:val="0"/>
          <w:kern w:val="0"/>
          <w:sz w:val="32"/>
          <w:szCs w:val="32"/>
          <w:lang w:val="en-US"/>
        </w:rPr>
      </w:pPr>
      <w:r>
        <w:rPr>
          <w:rStyle w:val="31"/>
          <w:rFonts w:hint="eastAsia" w:ascii="黑体" w:hAnsi="黑体" w:eastAsia="黑体" w:cs="黑体"/>
          <w:snapToGrid w:val="0"/>
          <w:spacing w:val="0"/>
          <w:kern w:val="0"/>
          <w:sz w:val="32"/>
          <w:szCs w:val="32"/>
        </w:rPr>
        <w:t>附件</w:t>
      </w:r>
      <w:r>
        <w:rPr>
          <w:rStyle w:val="31"/>
          <w:rFonts w:hint="eastAsia" w:ascii="黑体" w:hAnsi="黑体" w:eastAsia="黑体" w:cs="黑体"/>
          <w:snapToGrid w:val="0"/>
          <w:spacing w:val="0"/>
          <w:kern w:val="0"/>
          <w:sz w:val="32"/>
          <w:szCs w:val="32"/>
          <w:lang w:val="en-US"/>
        </w:rPr>
        <w:t>2</w:t>
      </w:r>
    </w:p>
    <w:p>
      <w:pPr>
        <w:pStyle w:val="2"/>
        <w:rPr>
          <w:rFonts w:hint="eastAsia"/>
          <w:lang w:val="en-US"/>
        </w:rPr>
      </w:pPr>
    </w:p>
    <w:p>
      <w:pPr>
        <w:pStyle w:val="32"/>
        <w:keepNext w:val="0"/>
        <w:keepLines w:val="0"/>
        <w:pageBreakBefore w:val="0"/>
        <w:framePr w:wrap="auto" w:vAnchor="margin" w:hAnchor="text" w:yAlign="inline"/>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pacing w:val="-6"/>
          <w:sz w:val="44"/>
          <w:szCs w:val="44"/>
          <w:rtl w:val="0"/>
          <w:lang w:val="zh-CN" w:eastAsia="zh-CN"/>
        </w:rPr>
      </w:pPr>
      <w:r>
        <w:rPr>
          <w:rFonts w:hint="eastAsia" w:ascii="方正小标宋简体" w:hAnsi="方正小标宋简体" w:eastAsia="方正小标宋简体" w:cs="方正小标宋简体"/>
          <w:color w:val="auto"/>
          <w:spacing w:val="-6"/>
          <w:sz w:val="44"/>
          <w:szCs w:val="44"/>
          <w:rtl w:val="0"/>
          <w:lang w:val="zh-CN" w:eastAsia="zh-CN"/>
        </w:rPr>
        <w:t>昌平区加快国际消费中心城市融合消费创新示范区培育建设若干促进措施202</w:t>
      </w:r>
      <w:r>
        <w:rPr>
          <w:rFonts w:hint="eastAsia" w:ascii="方正小标宋简体" w:hAnsi="方正小标宋简体" w:eastAsia="方正小标宋简体" w:cs="方正小标宋简体"/>
          <w:color w:val="auto"/>
          <w:spacing w:val="-6"/>
          <w:sz w:val="44"/>
          <w:szCs w:val="44"/>
          <w:rtl w:val="0"/>
          <w:lang w:val="en-US" w:eastAsia="zh-CN"/>
        </w:rPr>
        <w:t>5年</w:t>
      </w:r>
      <w:r>
        <w:rPr>
          <w:rFonts w:hint="eastAsia" w:ascii="方正小标宋简体" w:hAnsi="方正小标宋简体" w:eastAsia="方正小标宋简体" w:cs="方正小标宋简体"/>
          <w:color w:val="auto"/>
          <w:spacing w:val="-6"/>
          <w:sz w:val="44"/>
          <w:szCs w:val="44"/>
          <w:rtl w:val="0"/>
          <w:lang w:val="zh-CN" w:eastAsia="zh-CN"/>
        </w:rPr>
        <w:t>版</w:t>
      </w:r>
    </w:p>
    <w:p>
      <w:pPr>
        <w:pStyle w:val="32"/>
        <w:keepNext w:val="0"/>
        <w:keepLines w:val="0"/>
        <w:pageBreakBefore w:val="0"/>
        <w:framePr w:wrap="auto" w:vAnchor="margin" w:hAnchor="text" w:yAlign="inline"/>
        <w:widowControl/>
        <w:kinsoku/>
        <w:wordWrap/>
        <w:overflowPunct/>
        <w:topLinePunct w:val="0"/>
        <w:autoSpaceDE/>
        <w:autoSpaceDN/>
        <w:bidi w:val="0"/>
        <w:adjustRightInd/>
        <w:snapToGrid/>
        <w:spacing w:line="540" w:lineRule="exact"/>
        <w:jc w:val="center"/>
        <w:textAlignment w:val="auto"/>
        <w:rPr>
          <w:rFonts w:hint="eastAsia" w:eastAsia="黑体"/>
          <w:color w:val="auto"/>
          <w:spacing w:val="-6"/>
          <w:sz w:val="32"/>
          <w:szCs w:val="32"/>
          <w:rtl w:val="0"/>
          <w:lang w:val="zh-CN" w:eastAsia="zh-CN"/>
        </w:rPr>
      </w:pPr>
      <w:r>
        <w:rPr>
          <w:rFonts w:hint="eastAsia" w:ascii="方正小标宋简体" w:hAnsi="方正小标宋简体" w:eastAsia="方正小标宋简体" w:cs="方正小标宋简体"/>
          <w:color w:val="auto"/>
          <w:spacing w:val="-6"/>
          <w:sz w:val="44"/>
          <w:szCs w:val="44"/>
          <w:rtl w:val="0"/>
          <w:lang w:val="zh-CN" w:eastAsia="zh-CN"/>
        </w:rPr>
        <w:t>(征求意见稿）</w:t>
      </w:r>
    </w:p>
    <w:p>
      <w:pPr>
        <w:pStyle w:val="32"/>
        <w:keepNext w:val="0"/>
        <w:keepLines w:val="0"/>
        <w:pageBreakBefore w:val="0"/>
        <w:framePr w:wrap="auto" w:vAnchor="margin" w:hAnchor="text" w:yAlign="inline"/>
        <w:widowControl/>
        <w:kinsoku/>
        <w:wordWrap/>
        <w:overflowPunct/>
        <w:topLinePunct w:val="0"/>
        <w:autoSpaceDE/>
        <w:autoSpaceDN/>
        <w:bidi w:val="0"/>
        <w:adjustRightInd/>
        <w:snapToGrid/>
        <w:spacing w:before="313" w:beforeLines="100" w:after="313" w:afterLines="100" w:line="540" w:lineRule="exact"/>
        <w:jc w:val="center"/>
        <w:textAlignment w:val="auto"/>
        <w:rPr>
          <w:rFonts w:ascii="黑体" w:hAnsi="黑体" w:eastAsia="黑体" w:cs="黑体"/>
          <w:color w:val="auto"/>
          <w:sz w:val="32"/>
          <w:szCs w:val="32"/>
        </w:rPr>
      </w:pPr>
      <w:r>
        <w:rPr>
          <w:rFonts w:hint="eastAsia" w:eastAsia="黑体"/>
          <w:color w:val="auto"/>
          <w:sz w:val="32"/>
          <w:szCs w:val="32"/>
          <w:rtl w:val="0"/>
          <w:lang w:val="zh-CN" w:eastAsia="zh-CN"/>
        </w:rPr>
        <w:t>第一章  总</w:t>
      </w:r>
      <w:r>
        <w:rPr>
          <w:rFonts w:hint="eastAsia" w:eastAsia="黑体"/>
          <w:color w:val="auto"/>
          <w:sz w:val="32"/>
          <w:szCs w:val="32"/>
          <w:rtl w:val="0"/>
          <w:lang w:val="en-US" w:eastAsia="zh-CN"/>
        </w:rPr>
        <w:t xml:space="preserve">  </w:t>
      </w:r>
      <w:r>
        <w:rPr>
          <w:rFonts w:hint="eastAsia" w:eastAsia="黑体"/>
          <w:color w:val="auto"/>
          <w:sz w:val="32"/>
          <w:szCs w:val="32"/>
          <w:rtl w:val="0"/>
          <w:lang w:val="zh-CN" w:eastAsia="zh-CN"/>
        </w:rPr>
        <w:t>则</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tl w:val="0"/>
          <w:lang w:val="zh-CN" w:eastAsia="zh-CN"/>
        </w:rPr>
      </w:pPr>
      <w:r>
        <w:rPr>
          <w:rFonts w:hint="eastAsia" w:ascii="黑体" w:hAnsi="黑体" w:eastAsia="黑体" w:cs="黑体"/>
          <w:color w:val="auto"/>
          <w:sz w:val="32"/>
          <w:szCs w:val="32"/>
          <w:rtl w:val="0"/>
          <w:lang w:val="zh-CN" w:eastAsia="zh-CN"/>
        </w:rPr>
        <w:t>第一条</w:t>
      </w:r>
      <w:r>
        <w:rPr>
          <w:rFonts w:hint="eastAsia" w:ascii="仿宋_GB2312" w:hAnsi="仿宋_GB2312" w:eastAsia="仿宋_GB2312" w:cs="仿宋_GB2312"/>
          <w:color w:val="auto"/>
          <w:sz w:val="32"/>
          <w:szCs w:val="32"/>
          <w:rtl w:val="0"/>
          <w:lang w:val="zh-CN" w:eastAsia="zh-CN"/>
        </w:rPr>
        <w:t xml:space="preserve"> 为贯彻执行《国务院办公厅关于进一步释放消费潜力促进消费持续恢复的意见》（国办发〔2022〕9号）《国务院关于促进服务消费高质量发展的意见》（国发〔2024〕18号），统筹扩大内需和深化供给侧结构性改革，推动落实《促进多元消费业态融合高质量发展行动方案》（京商消一字〔2024〕20号），把恢复和扩大消费摆在优先位置，按照坚持数字化赋能、市场化导向、国际化引领、体验化方向、便民化目标的“五化标准”，加快推进昌平区国际消费中心城市融合消费创新示范区建设，特制定本措施。</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tl w:val="0"/>
          <w:lang w:val="en-US" w:eastAsia="zh-CN"/>
        </w:rPr>
      </w:pPr>
      <w:r>
        <w:rPr>
          <w:rFonts w:hint="eastAsia" w:ascii="黑体" w:hAnsi="黑体" w:eastAsia="黑体" w:cs="黑体"/>
          <w:color w:val="auto"/>
          <w:sz w:val="32"/>
          <w:szCs w:val="32"/>
          <w:rtl w:val="0"/>
          <w:lang w:val="zh-CN" w:eastAsia="zh-CN"/>
        </w:rPr>
        <w:t>第二条</w:t>
      </w:r>
      <w:r>
        <w:rPr>
          <w:rFonts w:hint="eastAsia" w:ascii="仿宋_GB2312" w:hAnsi="仿宋_GB2312" w:eastAsia="仿宋_GB2312" w:cs="仿宋_GB2312"/>
          <w:color w:val="auto"/>
          <w:sz w:val="32"/>
          <w:szCs w:val="32"/>
          <w:rtl w:val="0"/>
          <w:lang w:val="zh-CN" w:eastAsia="zh-CN"/>
        </w:rPr>
        <w:t xml:space="preserve"> 本措施适用于依法完成登记注册等相关工作，并实际经营且从事消费相关领域的具有独立法人资格的企业、其他市场主体以及优秀商业人才</w:t>
      </w:r>
      <w:r>
        <w:rPr>
          <w:rFonts w:hint="eastAsia" w:ascii="仿宋_GB2312" w:hAnsi="仿宋_GB2312" w:eastAsia="仿宋_GB2312" w:cs="仿宋_GB2312"/>
          <w:color w:val="auto"/>
          <w:sz w:val="32"/>
          <w:szCs w:val="32"/>
          <w:rtl w:val="0"/>
          <w:lang w:val="en-US" w:eastAsia="zh-CN"/>
        </w:rPr>
        <w:t>。</w:t>
      </w:r>
    </w:p>
    <w:p>
      <w:pPr>
        <w:pStyle w:val="32"/>
        <w:keepNext w:val="0"/>
        <w:keepLines w:val="0"/>
        <w:pageBreakBefore w:val="0"/>
        <w:framePr w:wrap="auto" w:vAnchor="margin" w:hAnchor="text" w:yAlign="inline"/>
        <w:widowControl/>
        <w:kinsoku/>
        <w:wordWrap/>
        <w:overflowPunct/>
        <w:topLinePunct w:val="0"/>
        <w:autoSpaceDE/>
        <w:autoSpaceDN/>
        <w:bidi w:val="0"/>
        <w:adjustRightInd/>
        <w:snapToGrid/>
        <w:spacing w:before="313" w:beforeLines="100" w:after="313" w:afterLines="100" w:line="540" w:lineRule="exact"/>
        <w:jc w:val="center"/>
        <w:textAlignment w:val="auto"/>
        <w:rPr>
          <w:rFonts w:ascii="黑体" w:hAnsi="黑体" w:eastAsia="黑体" w:cs="黑体"/>
          <w:color w:val="auto"/>
          <w:sz w:val="32"/>
          <w:szCs w:val="32"/>
        </w:rPr>
      </w:pPr>
      <w:r>
        <w:rPr>
          <w:rFonts w:hint="eastAsia" w:eastAsia="黑体"/>
          <w:color w:val="auto"/>
          <w:sz w:val="32"/>
          <w:szCs w:val="32"/>
          <w:rtl w:val="0"/>
          <w:lang w:val="zh-CN" w:eastAsia="zh-CN"/>
        </w:rPr>
        <w:t>第二章  支持消费供给品质提升措施</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52"/>
        <w:jc w:val="both"/>
        <w:textAlignment w:val="auto"/>
        <w:rPr>
          <w:rFonts w:hint="eastAsia" w:ascii="仿宋_GB2312" w:hAnsi="仿宋_GB2312" w:eastAsia="仿宋_GB2312" w:cs="仿宋_GB2312"/>
          <w:color w:val="auto"/>
          <w:sz w:val="32"/>
          <w:szCs w:val="32"/>
          <w:rtl w:val="0"/>
          <w:lang w:val="zh-CN" w:eastAsia="zh-CN"/>
        </w:rPr>
      </w:pPr>
      <w:r>
        <w:rPr>
          <w:rFonts w:hint="eastAsia" w:ascii="黑体" w:hAnsi="黑体" w:eastAsia="黑体" w:cs="黑体"/>
          <w:color w:val="auto"/>
          <w:sz w:val="32"/>
          <w:szCs w:val="32"/>
          <w:rtl w:val="0"/>
          <w:lang w:val="zh-CN" w:eastAsia="zh-CN"/>
        </w:rPr>
        <w:t>第三条</w:t>
      </w:r>
      <w:r>
        <w:rPr>
          <w:rFonts w:hint="eastAsia" w:ascii="仿宋_GB2312" w:hAnsi="仿宋_GB2312" w:eastAsia="仿宋_GB2312" w:cs="仿宋_GB2312"/>
          <w:color w:val="auto"/>
          <w:sz w:val="32"/>
          <w:szCs w:val="32"/>
          <w:rtl w:val="0"/>
          <w:lang w:val="zh-CN" w:eastAsia="zh-CN"/>
        </w:rPr>
        <w:t xml:space="preserve"> 支持品牌首店、旗舰店落地。对新设汽车、老字号、品质餐饮、美丽健康、新零售业态、绿色智能家电等国内外品牌首店、旗舰店，按照品牌影响力、经营规模、店面装修（含装修设计费、设备购置及配套硬件设施建设）、已支出的房租（不超过12个月）、营业收入等方面进行综合评定，给予最高不超过500万元的一次性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suppressAutoHyphens/>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outlineLvl w:val="9"/>
        <w:rPr>
          <w:rFonts w:hint="eastAsia" w:ascii="仿宋_GB2312" w:hAnsi="仿宋_GB2312" w:eastAsia="仿宋_GB2312" w:cs="仿宋_GB2312"/>
          <w:b w:val="0"/>
          <w:color w:val="auto"/>
          <w:spacing w:val="0"/>
          <w:w w:val="100"/>
          <w:kern w:val="2"/>
          <w:position w:val="0"/>
          <w:sz w:val="32"/>
          <w:szCs w:val="32"/>
          <w:u w:val="none"/>
          <w:vertAlign w:val="baseline"/>
          <w:rtl w:val="0"/>
          <w:lang w:val="zh-CN" w:eastAsia="zh-CN" w:bidi="ar-SA"/>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rPr>
        <w:t>第四条</w:t>
      </w:r>
      <w:r>
        <w:rPr>
          <w:rFonts w:hint="eastAsia" w:ascii="仿宋_GB2312" w:hAnsi="仿宋_GB2312" w:eastAsia="仿宋_GB2312" w:cs="仿宋_GB2312"/>
          <w:color w:val="auto"/>
          <w:sz w:val="32"/>
          <w:szCs w:val="32"/>
          <w:rtl w:val="0"/>
          <w:lang w:val="zh-CN" w:eastAsia="zh-CN"/>
        </w:rPr>
        <w:t xml:space="preserve"> 鼓励商圈企业、商业步行街提升消费环境。支持商圈企业、商业步行街进行经营场所外立面改造、店内装修、设备购置、水电气热设施改造、数据中心、智能安防、智能感知、智慧场景等项目建设，给予最高不超过200万元的一次性奖励</w:t>
      </w:r>
      <w:r>
        <w:rPr>
          <w:rFonts w:hint="eastAsia" w:ascii="仿宋_GB2312" w:hAnsi="仿宋_GB2312" w:eastAsia="仿宋_GB2312" w:cs="仿宋_GB2312"/>
          <w:b w:val="0"/>
          <w:color w:val="auto"/>
          <w:spacing w:val="0"/>
          <w:w w:val="100"/>
          <w:kern w:val="2"/>
          <w:position w:val="0"/>
          <w:sz w:val="32"/>
          <w:szCs w:val="32"/>
          <w:u w:val="none"/>
          <w:vertAlign w:val="baseline"/>
          <w:rtl w:val="0"/>
          <w:lang w:val="zh-CN" w:eastAsia="zh-CN" w:bidi="ar-SA"/>
        </w:rPr>
        <w:t>。</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tl w:val="0"/>
          <w:lang w:val="zh-CN" w:eastAsia="zh-CN"/>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第五条</w:t>
      </w:r>
      <w:r>
        <w:rPr>
          <w:rFonts w:hint="eastAsia" w:ascii="仿宋_GB2312" w:hAnsi="仿宋_GB2312" w:eastAsia="仿宋_GB2312" w:cs="仿宋_GB2312"/>
          <w:color w:val="auto"/>
          <w:sz w:val="32"/>
          <w:szCs w:val="32"/>
          <w:rtl w:val="0"/>
          <w:lang w:val="zh-CN" w:eastAsia="zh-CN"/>
        </w:rPr>
        <w:t xml:space="preserve"> 鼓励申报国家级、市级特色消费地标。对初评获得国家或市级部门认定的老字号、“夜京城”、特色美食街区、旅游休闲街区、体育旅游精品目的地、夜间文化和旅游消费集聚区等商文旅体农融合消费产品或场景的市场主体，给予最高不超过10万元的一次性奖励</w:t>
      </w:r>
      <w:r>
        <w:rPr>
          <w:rFonts w:hint="eastAsia" w:ascii="仿宋_GB2312" w:hAnsi="仿宋_GB2312" w:eastAsia="仿宋_GB2312" w:cs="仿宋_GB2312"/>
          <w:color w:val="auto"/>
          <w:sz w:val="32"/>
          <w:szCs w:val="32"/>
          <w:rtl w:val="0"/>
          <w:lang w:val="ja-JP" w:eastAsia="ja-JP"/>
        </w:rPr>
        <w:t>。</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52"/>
        <w:jc w:val="both"/>
        <w:textAlignment w:val="auto"/>
        <w:rPr>
          <w:rFonts w:hint="eastAsia" w:ascii="仿宋_GB2312" w:hAnsi="仿宋_GB2312" w:eastAsia="仿宋_GB2312" w:cs="仿宋_GB2312"/>
          <w:color w:val="auto"/>
          <w:sz w:val="32"/>
          <w:szCs w:val="32"/>
          <w:rtl w:val="0"/>
          <w:lang w:val="zh-CN" w:eastAsia="zh-CN"/>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第六条</w:t>
      </w:r>
      <w:r>
        <w:rPr>
          <w:rFonts w:hint="eastAsia" w:ascii="仿宋_GB2312" w:hAnsi="仿宋_GB2312" w:eastAsia="仿宋_GB2312" w:cs="仿宋_GB2312"/>
          <w:color w:val="auto"/>
          <w:sz w:val="32"/>
          <w:szCs w:val="32"/>
          <w:rtl w:val="0"/>
          <w:lang w:val="zh-CN" w:eastAsia="zh-CN"/>
        </w:rPr>
        <w:t xml:space="preserve"> 鼓励餐饮企业提升品牌能级。对餐饮企业初评或提高“米其林”“黑珍珠”星级标准，按照星级级别给予最高不超过50万元的一次性奖励。</w:t>
      </w:r>
    </w:p>
    <w:p>
      <w:pPr>
        <w:pStyle w:val="32"/>
        <w:keepNext w:val="0"/>
        <w:keepLines w:val="0"/>
        <w:pageBreakBefore w:val="0"/>
        <w:framePr w:wrap="auto" w:vAnchor="margin" w:hAnchor="text" w:yAlign="inline"/>
        <w:widowControl/>
        <w:kinsoku/>
        <w:wordWrap/>
        <w:overflowPunct/>
        <w:topLinePunct w:val="0"/>
        <w:autoSpaceDE/>
        <w:autoSpaceDN/>
        <w:bidi w:val="0"/>
        <w:adjustRightInd/>
        <w:snapToGrid/>
        <w:spacing w:before="313" w:beforeLines="100" w:after="313" w:afterLines="100" w:line="540" w:lineRule="exact"/>
        <w:jc w:val="center"/>
        <w:textAlignment w:val="auto"/>
        <w:rPr>
          <w:rFonts w:ascii="黑体" w:hAnsi="黑体" w:eastAsia="黑体" w:cs="黑体"/>
          <w:color w:val="auto"/>
          <w:sz w:val="32"/>
          <w:szCs w:val="32"/>
        </w:rPr>
      </w:pPr>
      <w:r>
        <w:rPr>
          <w:rFonts w:hint="eastAsia" w:eastAsia="黑体"/>
          <w:color w:val="auto"/>
          <w:sz w:val="32"/>
          <w:szCs w:val="32"/>
          <w:rtl w:val="0"/>
          <w:lang w:val="zh-CN" w:eastAsia="zh-CN"/>
        </w:rPr>
        <w:t>第三章  支持消费市场活跃繁荣措施</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52"/>
        <w:jc w:val="both"/>
        <w:textAlignment w:val="auto"/>
        <w:rPr>
          <w:rFonts w:hint="eastAsia" w:eastAsia="FangSong_GB2312"/>
          <w:color w:val="auto"/>
          <w:sz w:val="32"/>
          <w:szCs w:val="32"/>
          <w:rtl w:val="0"/>
          <w:lang w:val="zh-CN" w:eastAsia="zh-CN"/>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第七条</w:t>
      </w:r>
      <w:r>
        <w:rPr>
          <w:rFonts w:hint="eastAsia" w:ascii="仿宋_GB2312" w:hAnsi="仿宋_GB2312" w:eastAsia="仿宋_GB2312" w:cs="仿宋_GB2312"/>
          <w:color w:val="auto"/>
          <w:sz w:val="32"/>
          <w:szCs w:val="32"/>
          <w:rtl w:val="0"/>
          <w:lang w:val="zh-CN" w:eastAsia="zh-CN"/>
        </w:rPr>
        <w:t xml:space="preserve"> 促进消费市场需求持续提振。在汽车置换更新、家居家电更新、数字消费、绿色消费、健康消费、餐饮消费等领域发放消费券，培育一批特色活动品牌。</w:t>
      </w:r>
    </w:p>
    <w:p>
      <w:pPr>
        <w:pStyle w:val="32"/>
        <w:keepNext w:val="0"/>
        <w:keepLines w:val="0"/>
        <w:pageBreakBefore w:val="0"/>
        <w:framePr w:wrap="auto" w:vAnchor="margin" w:hAnchor="text" w:yAlign="inline"/>
        <w:widowControl/>
        <w:kinsoku/>
        <w:wordWrap/>
        <w:overflowPunct/>
        <w:topLinePunct w:val="0"/>
        <w:autoSpaceDE/>
        <w:autoSpaceDN/>
        <w:bidi w:val="0"/>
        <w:adjustRightInd/>
        <w:snapToGrid/>
        <w:spacing w:line="540" w:lineRule="exact"/>
        <w:ind w:firstLine="652"/>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第八条</w:t>
      </w:r>
      <w:r>
        <w:rPr>
          <w:rFonts w:hint="eastAsia" w:ascii="仿宋_GB2312" w:hAnsi="仿宋_GB2312" w:eastAsia="仿宋_GB2312" w:cs="仿宋_GB2312"/>
          <w:color w:val="auto"/>
          <w:sz w:val="32"/>
          <w:szCs w:val="32"/>
          <w:rtl w:val="0"/>
          <w:lang w:val="zh-CN" w:eastAsia="zh-CN"/>
        </w:rPr>
        <w:t xml:space="preserve"> 支持培育壮大首发特色消费活动。对企业承办的国内外知名品牌新品发布活动，按照活动效果、活动投入、品牌能级等进行综合评定，给予最高不超过30万元的一次性奖励。</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52"/>
        <w:jc w:val="both"/>
        <w:textAlignment w:val="auto"/>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 xml:space="preserve">第九条 </w:t>
      </w:r>
      <w:r>
        <w:rPr>
          <w:rFonts w:hint="eastAsia" w:ascii="仿宋_GB2312" w:hAnsi="仿宋_GB2312" w:eastAsia="仿宋_GB2312" w:cs="仿宋_GB2312"/>
          <w:color w:val="auto"/>
          <w:sz w:val="32"/>
          <w:szCs w:val="32"/>
          <w:rtl w:val="0"/>
          <w:lang w:val="zh-CN" w:eastAsia="zh-CN"/>
        </w:rPr>
        <w:t>支持直播电商服务企业高质量发展。鼓励直播电商服务企业在老字号、美丽健康、时尚消费、家居家电、特色农产品等消费领域实现带动效应，对形成带动效应的网络零售额，按照年度累计网络零售额同比每增加2000万元奖励5万元，单个直播电商服务企业一次性奖励最高不超过50万元。</w:t>
      </w:r>
    </w:p>
    <w:p>
      <w:pPr>
        <w:pStyle w:val="32"/>
        <w:keepNext w:val="0"/>
        <w:keepLines w:val="0"/>
        <w:pageBreakBefore w:val="0"/>
        <w:framePr w:wrap="auto" w:vAnchor="margin" w:hAnchor="text" w:yAlign="inline"/>
        <w:widowControl/>
        <w:kinsoku/>
        <w:wordWrap/>
        <w:overflowPunct/>
        <w:topLinePunct w:val="0"/>
        <w:autoSpaceDE/>
        <w:autoSpaceDN/>
        <w:bidi w:val="0"/>
        <w:adjustRightInd/>
        <w:snapToGrid/>
        <w:spacing w:before="313" w:beforeLines="100" w:after="313" w:afterLines="100" w:line="540" w:lineRule="exact"/>
        <w:jc w:val="center"/>
        <w:textAlignment w:val="auto"/>
        <w:rPr>
          <w:rFonts w:ascii="黑体" w:hAnsi="黑体" w:eastAsia="黑体" w:cs="黑体"/>
          <w:color w:val="auto"/>
          <w:sz w:val="32"/>
          <w:szCs w:val="32"/>
        </w:rPr>
      </w:pPr>
      <w:r>
        <w:rPr>
          <w:rFonts w:hint="eastAsia" w:eastAsia="黑体"/>
          <w:color w:val="auto"/>
          <w:sz w:val="32"/>
          <w:szCs w:val="32"/>
          <w:rtl w:val="0"/>
          <w:lang w:val="zh-CN" w:eastAsia="zh-CN"/>
        </w:rPr>
        <w:t>第四章 支持消费主体高质量增长措施</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52"/>
        <w:jc w:val="both"/>
        <w:textAlignment w:val="auto"/>
        <w:rPr>
          <w:rFonts w:hint="eastAsia" w:ascii="仿宋_GB2312" w:hAnsi="仿宋_GB2312" w:eastAsia="仿宋_GB2312" w:cs="仿宋_GB2312"/>
          <w:color w:val="auto"/>
          <w:sz w:val="32"/>
          <w:szCs w:val="32"/>
          <w:rtl w:val="0"/>
          <w:lang w:val="zh-CN" w:eastAsia="zh-CN"/>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第十条</w:t>
      </w:r>
      <w:r>
        <w:rPr>
          <w:rFonts w:hint="eastAsia" w:ascii="仿宋_GB2312" w:hAnsi="仿宋_GB2312" w:eastAsia="仿宋_GB2312" w:cs="仿宋_GB2312"/>
          <w:color w:val="auto"/>
          <w:sz w:val="32"/>
          <w:szCs w:val="32"/>
          <w:rtl w:val="0"/>
          <w:lang w:val="zh-CN" w:eastAsia="zh-CN"/>
        </w:rPr>
        <w:t xml:space="preserve"> 支持网络消费高质量发展。对通过网络平台开展商品或餐饮自营销售业务的企业，按照全年累计网络零售额同比每增加1000万元奖励5万元，年度一次性奖励最高不超过100万元。</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52"/>
        <w:jc w:val="both"/>
        <w:textAlignment w:val="auto"/>
        <w:rPr>
          <w:rFonts w:hint="eastAsia" w:ascii="仿宋_GB2312" w:hAnsi="仿宋_GB2312" w:eastAsia="仿宋_GB2312" w:cs="仿宋_GB2312"/>
          <w:color w:val="auto"/>
          <w:sz w:val="32"/>
          <w:szCs w:val="32"/>
          <w:rtl w:val="0"/>
          <w:lang w:val="zh-CN" w:eastAsia="zh-CN"/>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第十一条</w:t>
      </w:r>
      <w:r>
        <w:rPr>
          <w:rFonts w:hint="eastAsia" w:ascii="仿宋_GB2312" w:hAnsi="仿宋_GB2312" w:eastAsia="仿宋_GB2312" w:cs="仿宋_GB2312"/>
          <w:color w:val="auto"/>
          <w:sz w:val="32"/>
          <w:szCs w:val="32"/>
          <w:rtl w:val="0"/>
          <w:lang w:val="zh-CN" w:eastAsia="zh-CN"/>
        </w:rPr>
        <w:t xml:space="preserve"> 鼓励培育引进首店、旗舰店。鼓励商业综合体、商业街区、行业协会、服务机构等推荐单位，按照每引进1家首店、旗舰店，给予最高不超过</w:t>
      </w:r>
      <w:r>
        <w:rPr>
          <w:rFonts w:hint="eastAsia" w:ascii="仿宋_GB2312" w:hAnsi="仿宋_GB2312" w:eastAsia="仿宋_GB2312" w:cs="仿宋_GB2312"/>
          <w:color w:val="auto"/>
          <w:sz w:val="32"/>
          <w:szCs w:val="32"/>
          <w:rtl w:val="0"/>
          <w:lang w:val="en-US" w:eastAsia="zh-CN"/>
        </w:rPr>
        <w:t>10</w:t>
      </w:r>
      <w:r>
        <w:rPr>
          <w:rFonts w:hint="eastAsia" w:ascii="仿宋_GB2312" w:hAnsi="仿宋_GB2312" w:eastAsia="仿宋_GB2312" w:cs="仿宋_GB2312"/>
          <w:color w:val="auto"/>
          <w:sz w:val="32"/>
          <w:szCs w:val="32"/>
          <w:rtl w:val="0"/>
          <w:lang w:val="zh-CN" w:eastAsia="zh-CN"/>
        </w:rPr>
        <w:t>万元的一次性奖励给予资金支持。</w:t>
      </w:r>
    </w:p>
    <w:p>
      <w:pPr>
        <w:pStyle w:val="32"/>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before="313" w:beforeLines="100" w:after="313" w:afterLines="100" w:line="540" w:lineRule="exact"/>
        <w:ind w:leftChars="0" w:right="0" w:rightChars="0"/>
        <w:jc w:val="center"/>
        <w:textAlignment w:val="auto"/>
        <w:rPr>
          <w:rFonts w:hint="eastAsia" w:eastAsia="黑体"/>
          <w:color w:val="auto"/>
          <w:sz w:val="32"/>
          <w:szCs w:val="32"/>
          <w:rtl w:val="0"/>
          <w:lang w:val="zh-CN" w:eastAsia="zh-CN"/>
        </w:rPr>
      </w:pPr>
      <w:r>
        <w:rPr>
          <w:rFonts w:hint="eastAsia" w:eastAsia="黑体"/>
          <w:color w:val="auto"/>
          <w:sz w:val="32"/>
          <w:szCs w:val="32"/>
          <w:rtl w:val="0"/>
          <w:lang w:val="zh-CN" w:eastAsia="zh-CN"/>
        </w:rPr>
        <w:t>第五章</w:t>
      </w:r>
      <w:r>
        <w:rPr>
          <w:rFonts w:hint="eastAsia" w:eastAsia="黑体"/>
          <w:color w:val="auto"/>
          <w:sz w:val="32"/>
          <w:szCs w:val="32"/>
          <w:rtl w:val="0"/>
          <w:lang w:val="en-US" w:eastAsia="zh-CN"/>
        </w:rPr>
        <w:t xml:space="preserve"> </w:t>
      </w:r>
      <w:r>
        <w:rPr>
          <w:rFonts w:hint="eastAsia" w:eastAsia="黑体"/>
          <w:color w:val="auto"/>
          <w:sz w:val="32"/>
          <w:szCs w:val="32"/>
          <w:rtl w:val="0"/>
          <w:lang w:val="zh-CN" w:eastAsia="zh-CN"/>
        </w:rPr>
        <w:t>优化融合消费创新示范区发展生态</w:t>
      </w:r>
    </w:p>
    <w:p>
      <w:pPr>
        <w:pStyle w:val="32"/>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tl w:val="0"/>
          <w:lang w:val="zh-CN" w:eastAsia="zh-CN"/>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第十二条</w:t>
      </w:r>
      <w:r>
        <w:rPr>
          <w:rFonts w:hint="eastAsia" w:ascii="仿宋_GB2312" w:hAnsi="仿宋_GB2312" w:eastAsia="仿宋_GB2312" w:cs="仿宋_GB2312"/>
          <w:color w:val="auto"/>
          <w:sz w:val="32"/>
          <w:szCs w:val="32"/>
          <w:rtl w:val="0"/>
          <w:lang w:val="zh-CN" w:eastAsia="zh-CN"/>
        </w:rPr>
        <w:t xml:space="preserve"> 培育打造京北体验式消费场景。鼓励市场主体在重点商圈、商业街区、开放公园、工业遗址、产业园区、公共服务空间等场所，打造街区、近山、亲水、赛事、演艺、夜间、数字等多元消费融合场景，对在方案创意、空间品质、业态组合和经营模式等方面起到综合辐射带动作用的项目，按照项目当年实际投资额的30%，给予最高不超过30万元的一次性奖励。</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52"/>
        <w:jc w:val="both"/>
        <w:textAlignment w:val="auto"/>
        <w:rPr>
          <w:rFonts w:hint="eastAsia" w:ascii="仿宋_GB2312" w:hAnsi="仿宋_GB2312" w:eastAsia="仿宋_GB2312" w:cs="仿宋_GB2312"/>
          <w:color w:val="auto"/>
          <w:sz w:val="32"/>
          <w:szCs w:val="32"/>
          <w:rtl w:val="0"/>
          <w:lang w:val="zh-CN" w:eastAsia="zh-CN"/>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第十三条</w:t>
      </w:r>
      <w:r>
        <w:rPr>
          <w:rFonts w:hint="eastAsia" w:ascii="仿宋_GB2312" w:hAnsi="仿宋_GB2312" w:eastAsia="仿宋_GB2312" w:cs="仿宋_GB2312"/>
          <w:color w:val="auto"/>
          <w:sz w:val="32"/>
          <w:szCs w:val="32"/>
          <w:rtl w:val="0"/>
          <w:lang w:val="zh-CN" w:eastAsia="zh-CN"/>
        </w:rPr>
        <w:t xml:space="preserve"> 鼓励商业领域高质量发展研究。鼓励具有现代商业理论和实务研究能力的智库类单位，开展数字商务评价、统计监测分析等方面的重要研究，按照研究成果的适用范围、研究价值方面进行综合评定，给予最高不超过30万元的一次性奖励。</w:t>
      </w:r>
    </w:p>
    <w:p>
      <w:pPr>
        <w:pStyle w:val="32"/>
        <w:keepNext w:val="0"/>
        <w:keepLines w:val="0"/>
        <w:pageBreakBefore w:val="0"/>
        <w:framePr w:wrap="auto" w:vAnchor="margin" w:hAnchor="text" w:yAlign="inline"/>
        <w:widowControl/>
        <w:tabs>
          <w:tab w:val="left" w:pos="2194"/>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tl w:val="0"/>
          <w:lang w:val="zh-CN" w:eastAsia="zh-CN"/>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第十四条</w:t>
      </w:r>
      <w:r>
        <w:rPr>
          <w:rFonts w:hint="eastAsia" w:ascii="仿宋_GB2312" w:hAnsi="仿宋_GB2312" w:eastAsia="仿宋_GB2312" w:cs="仿宋_GB2312"/>
          <w:color w:val="auto"/>
          <w:sz w:val="32"/>
          <w:szCs w:val="32"/>
          <w:rtl w:val="0"/>
          <w:lang w:val="zh-CN" w:eastAsia="zh-CN"/>
        </w:rPr>
        <w:t xml:space="preserve"> 培育壮大商业人才群体。围绕国际消费中心城市融合消费创新示范区建设，针对商业高质量发展、品质提升、新消费业态、商业流通等领域从事经营管理、营销推广等职业，并做出突出贡献的优秀商业人才，提供居住事项办理、子女入学、医疗保障、住房保障等便利化服务。</w:t>
      </w:r>
    </w:p>
    <w:p>
      <w:pPr>
        <w:pStyle w:val="32"/>
        <w:keepNext w:val="0"/>
        <w:keepLines w:val="0"/>
        <w:pageBreakBefore w:val="0"/>
        <w:framePr w:wrap="auto" w:vAnchor="margin" w:hAnchor="text" w:yAlign="inline"/>
        <w:widowControl/>
        <w:kinsoku/>
        <w:wordWrap/>
        <w:overflowPunct/>
        <w:topLinePunct w:val="0"/>
        <w:autoSpaceDE/>
        <w:autoSpaceDN/>
        <w:bidi w:val="0"/>
        <w:adjustRightInd/>
        <w:snapToGrid/>
        <w:spacing w:before="313" w:beforeLines="100" w:after="313" w:afterLines="100" w:line="540" w:lineRule="exact"/>
        <w:jc w:val="center"/>
        <w:textAlignment w:val="auto"/>
        <w:rPr>
          <w:rFonts w:ascii="黑体" w:hAnsi="黑体" w:eastAsia="黑体" w:cs="黑体"/>
          <w:color w:val="auto"/>
          <w:sz w:val="32"/>
          <w:szCs w:val="32"/>
        </w:rPr>
      </w:pPr>
      <w:r>
        <w:rPr>
          <w:rFonts w:hint="eastAsia" w:eastAsia="黑体"/>
          <w:color w:val="auto"/>
          <w:sz w:val="32"/>
          <w:szCs w:val="32"/>
          <w:rtl w:val="0"/>
          <w:lang w:val="zh-CN" w:eastAsia="zh-CN"/>
        </w:rPr>
        <w:t>第六章 附</w:t>
      </w:r>
      <w:r>
        <w:rPr>
          <w:rFonts w:hint="eastAsia" w:eastAsia="黑体"/>
          <w:color w:val="auto"/>
          <w:sz w:val="32"/>
          <w:szCs w:val="32"/>
          <w:rtl w:val="0"/>
          <w:lang w:val="en-US" w:eastAsia="zh-CN"/>
        </w:rPr>
        <w:t xml:space="preserve">  </w:t>
      </w:r>
      <w:r>
        <w:rPr>
          <w:rFonts w:hint="eastAsia" w:eastAsia="黑体"/>
          <w:color w:val="auto"/>
          <w:sz w:val="32"/>
          <w:szCs w:val="32"/>
          <w:rtl w:val="0"/>
          <w:lang w:val="zh-CN" w:eastAsia="zh-CN"/>
        </w:rPr>
        <w:t>则</w:t>
      </w:r>
    </w:p>
    <w:p>
      <w:pPr>
        <w:pStyle w:val="32"/>
        <w:keepNext w:val="0"/>
        <w:keepLines w:val="0"/>
        <w:pageBreakBefore w:val="0"/>
        <w:framePr w:wrap="auto" w:vAnchor="margin" w:hAnchor="text" w:yAlign="inline"/>
        <w:widowControl/>
        <w:kinsoku/>
        <w:wordWrap/>
        <w:overflowPunct/>
        <w:topLinePunct w:val="0"/>
        <w:autoSpaceDE/>
        <w:autoSpaceDN/>
        <w:bidi w:val="0"/>
        <w:adjustRightInd/>
        <w:snapToGrid/>
        <w:spacing w:line="540" w:lineRule="exact"/>
        <w:ind w:firstLine="652"/>
        <w:jc w:val="both"/>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第十五条</w:t>
      </w:r>
      <w:r>
        <w:rPr>
          <w:rFonts w:hint="eastAsia" w:eastAsia="FangSong_GB2312"/>
          <w:color w:val="auto"/>
          <w:sz w:val="32"/>
          <w:szCs w:val="32"/>
          <w:rtl w:val="0"/>
          <w:lang w:val="zh-CN" w:eastAsia="zh-CN"/>
        </w:rPr>
        <w:t xml:space="preserve"> </w:t>
      </w:r>
      <w:r>
        <w:rPr>
          <w:rFonts w:hint="eastAsia" w:ascii="仿宋_GB2312" w:hAnsi="仿宋_GB2312" w:eastAsia="仿宋_GB2312" w:cs="仿宋_GB2312"/>
          <w:color w:val="auto"/>
          <w:sz w:val="32"/>
          <w:szCs w:val="32"/>
          <w:rtl w:val="0"/>
          <w:lang w:val="zh-CN" w:eastAsia="zh-CN"/>
        </w:rPr>
        <w:t>由区商务局牵头制定本措施申报指南，并组建项目评审委员会，负责政策施行，定期开展项目征集和评审。区财政局负责专项资金的筹集及拨付，并对资金使用情况进行绩效评价、监督检查等。</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52"/>
        <w:jc w:val="both"/>
        <w:textAlignment w:val="auto"/>
        <w:rPr>
          <w:rFonts w:hint="eastAsia" w:ascii="仿宋_GB2312" w:hAnsi="仿宋_GB2312" w:eastAsia="仿宋_GB2312" w:cs="仿宋_GB2312"/>
          <w:color w:val="auto"/>
          <w:sz w:val="32"/>
          <w:szCs w:val="32"/>
          <w:rtl w:val="0"/>
          <w:lang w:val="zh-CN" w:eastAsia="zh-CN"/>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第十六条</w:t>
      </w:r>
      <w:r>
        <w:rPr>
          <w:rFonts w:hint="eastAsia" w:eastAsia="FangSong_GB2312"/>
          <w:color w:val="auto"/>
          <w:sz w:val="32"/>
          <w:szCs w:val="32"/>
          <w:rtl w:val="0"/>
          <w:lang w:val="zh-CN" w:eastAsia="zh-CN"/>
        </w:rPr>
        <w:t xml:space="preserve"> </w:t>
      </w:r>
      <w:r>
        <w:rPr>
          <w:rFonts w:hint="eastAsia" w:ascii="仿宋_GB2312" w:hAnsi="仿宋_GB2312" w:eastAsia="仿宋_GB2312" w:cs="仿宋_GB2312"/>
          <w:color w:val="auto"/>
          <w:sz w:val="32"/>
          <w:szCs w:val="32"/>
          <w:rtl w:val="0"/>
          <w:lang w:val="zh-CN" w:eastAsia="zh-CN"/>
        </w:rPr>
        <w:t>申报主体须管理制度健全，经营状态良好，近三年无重大违法违规记录。有下列情形之一的，不予支持：列入《北京市新增产业的禁止和限制目录》禁止类和限制类范围的；纳入全市联合惩戒“黑名单”的；纳入北京市商务领域不良信用记录名单，受到“不予支持”信用惩戒的；因企业自身原因发生安全生产事故的；因企业提供虚假材料等行为造成不良影响的。</w:t>
      </w:r>
    </w:p>
    <w:p>
      <w:pPr>
        <w:pStyle w:val="32"/>
        <w:keepNext w:val="0"/>
        <w:keepLines w:val="0"/>
        <w:pageBreakBefore w:val="0"/>
        <w:framePr w:wrap="auto" w:vAnchor="margin" w:hAnchor="text" w:yAlign="inline"/>
        <w:widowControl/>
        <w:kinsoku/>
        <w:wordWrap/>
        <w:overflowPunct/>
        <w:topLinePunct w:val="0"/>
        <w:autoSpaceDE/>
        <w:autoSpaceDN/>
        <w:bidi w:val="0"/>
        <w:adjustRightInd/>
        <w:snapToGrid/>
        <w:spacing w:line="540" w:lineRule="exact"/>
        <w:ind w:firstLine="652"/>
        <w:jc w:val="both"/>
        <w:textAlignment w:val="auto"/>
        <w:rPr>
          <w:rFonts w:ascii="FangSong_GB2312" w:hAnsi="FangSong_GB2312" w:eastAsia="FangSong_GB2312" w:cs="FangSong_GB2312"/>
          <w:color w:val="auto"/>
          <w:sz w:val="32"/>
          <w:szCs w:val="32"/>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第十七条</w:t>
      </w:r>
      <w:r>
        <w:rPr>
          <w:rFonts w:hint="eastAsia" w:eastAsia="FangSong_GB2312"/>
          <w:color w:val="auto"/>
          <w:sz w:val="32"/>
          <w:szCs w:val="32"/>
          <w:rtl w:val="0"/>
          <w:lang w:val="zh-CN" w:eastAsia="zh-CN"/>
        </w:rPr>
        <w:t xml:space="preserve"> 同一项目、同一事项同时符合本措施多个条款或其他扶持政策的，按照“从优不重复”原则处理。符合北京市其他扶持政策规定的，可申请同时享受市、区两级政策支持，另有规定的除外。</w:t>
      </w:r>
    </w:p>
    <w:p>
      <w:pPr>
        <w:pStyle w:val="3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w w:val="97"/>
          <w:sz w:val="32"/>
          <w:szCs w:val="32"/>
          <w:highlight w:val="none"/>
          <w:u w:val="none"/>
          <w:rtl w:val="0"/>
          <w:lang w:val="zh-CN" w:eastAsia="zh-CN"/>
        </w:rPr>
      </w:pPr>
      <w:r>
        <w:rPr>
          <w:rFonts w:hint="eastAsia" w:ascii="黑体" w:hAnsi="黑体" w:eastAsia="黑体" w:cs="黑体"/>
          <w:color w:val="auto"/>
          <w:spacing w:val="0"/>
          <w:w w:val="100"/>
          <w:kern w:val="0"/>
          <w:position w:val="0"/>
          <w:sz w:val="32"/>
          <w:szCs w:val="32"/>
          <w:u w:val="none" w:color="auto"/>
          <w:shd w:val="clear" w:color="auto" w:fill="auto"/>
          <w:vertAlign w:val="baseline"/>
          <w:rtl w:val="0"/>
          <w:lang w:val="zh-CN" w:eastAsia="zh-CN" w:bidi="ar-SA"/>
        </w:rPr>
        <w:t>第十七条</w:t>
      </w:r>
      <w:r>
        <w:rPr>
          <w:rFonts w:hint="eastAsia" w:eastAsia="FangSong_GB2312"/>
          <w:color w:val="auto"/>
          <w:w w:val="97"/>
          <w:sz w:val="32"/>
          <w:szCs w:val="32"/>
          <w:rtl w:val="0"/>
          <w:lang w:val="zh-CN" w:eastAsia="zh-CN"/>
        </w:rPr>
        <w:t xml:space="preserve"> </w:t>
      </w:r>
      <w:r>
        <w:rPr>
          <w:rFonts w:hint="eastAsia" w:ascii="仿宋_GB2312" w:hAnsi="仿宋_GB2312" w:eastAsia="仿宋_GB2312" w:cs="仿宋_GB2312"/>
          <w:color w:val="auto"/>
          <w:sz w:val="32"/>
          <w:szCs w:val="32"/>
          <w:rtl w:val="0"/>
          <w:lang w:val="zh-CN" w:eastAsia="zh-CN"/>
        </w:rPr>
        <w:t>本措施由区商务局负责解释，并自发布之日起实施，有效期至2026年12月31日。2023年10月印发的《昌平区加快国际消费中心城市融合消费创新示范区培育建设若干促进措施</w:t>
      </w:r>
      <w:bookmarkStart w:id="0" w:name="_GoBack"/>
      <w:bookmarkEnd w:id="0"/>
      <w:r>
        <w:rPr>
          <w:rFonts w:hint="eastAsia" w:ascii="仿宋_GB2312" w:hAnsi="仿宋_GB2312" w:eastAsia="仿宋_GB2312" w:cs="仿宋_GB2312"/>
          <w:color w:val="auto"/>
          <w:sz w:val="32"/>
          <w:szCs w:val="32"/>
          <w:rtl w:val="0"/>
          <w:lang w:val="zh-CN" w:eastAsia="zh-CN"/>
        </w:rPr>
        <w:t>》(昌政办发〔2023〕16号)同时废止。</w:t>
      </w:r>
    </w:p>
    <w:sectPr>
      <w:footerReference r:id="rId3" w:type="default"/>
      <w:footerReference r:id="rId4" w:type="even"/>
      <w:pgSz w:w="11906" w:h="16838"/>
      <w:pgMar w:top="2098" w:right="1474" w:bottom="1984" w:left="1588" w:header="851" w:footer="153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6D17CF-4D3A-43C9-85E6-CAAFE1475F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2240BF8-8301-4735-B936-D31A102D8FBE}"/>
  </w:font>
  <w:font w:name="仿宋_GB2312">
    <w:panose1 w:val="02010609030101010101"/>
    <w:charset w:val="86"/>
    <w:family w:val="auto"/>
    <w:pitch w:val="default"/>
    <w:sig w:usb0="00000001" w:usb1="080E0000" w:usb2="00000000" w:usb3="00000000" w:csb0="00040000" w:csb1="00000000"/>
    <w:embedRegular r:id="rId3" w:fontKey="{F356C00B-4759-4BAA-AB8B-7D5BF1C12C8E}"/>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swiss"/>
    <w:pitch w:val="default"/>
    <w:sig w:usb0="800002BF" w:usb1="38CF7CFA" w:usb2="00000016" w:usb3="00000000" w:csb0="00040001" w:csb1="00000000"/>
  </w:font>
  <w:font w:name="Arial Unicode MS">
    <w:altName w:val="宋体"/>
    <w:panose1 w:val="00000000000000000000"/>
    <w:charset w:val="86"/>
    <w:family w:val="roman"/>
    <w:pitch w:val="default"/>
    <w:sig w:usb0="00000000" w:usb1="00000000" w:usb2="00000000" w:usb3="00000000" w:csb0="00000000" w:csb1="00000000"/>
  </w:font>
  <w:font w:name="PingFang SC Regular">
    <w:altName w:val="宋体"/>
    <w:panose1 w:val="020B0400000000000000"/>
    <w:charset w:val="86"/>
    <w:family w:val="roman"/>
    <w:pitch w:val="default"/>
    <w:sig w:usb0="00000000" w:usb1="00000000" w:usb2="00000000" w:usb3="00000000" w:csb0="00160000" w:csb1="00000000"/>
  </w:font>
  <w:font w:name="方正小标宋简体">
    <w:panose1 w:val="02010601030101010101"/>
    <w:charset w:val="86"/>
    <w:family w:val="script"/>
    <w:pitch w:val="default"/>
    <w:sig w:usb0="00000001" w:usb1="080E0000" w:usb2="00000000" w:usb3="00000000" w:csb0="00040000" w:csb1="00000000"/>
    <w:embedRegular r:id="rId4" w:fontKey="{4814580E-22C1-41B6-9790-96CCCB91D3C4}"/>
  </w:font>
  <w:font w:name="FangSong_GB2312">
    <w:altName w:val="仿宋_GB2312"/>
    <w:panose1 w:val="02010609030101010101"/>
    <w:charset w:val="86"/>
    <w:family w:val="roman"/>
    <w:pitch w:val="default"/>
    <w:sig w:usb0="00000000" w:usb1="00000000" w:usb2="00000000" w:usb3="00000000" w:csb0="00060000" w:csb1="00000000"/>
    <w:embedRegular r:id="rId5" w:fontKey="{06F1801A-9F06-4709-BCDC-6E07637777E2}"/>
  </w:font>
  <w:font w:name="方正仿宋_GB2312">
    <w:altName w:val="仿宋"/>
    <w:panose1 w:val="02000000000000000000"/>
    <w:charset w:val="86"/>
    <w:family w:val="auto"/>
    <w:pitch w:val="default"/>
    <w:sig w:usb0="00000000" w:usb1="00000000" w:usb2="00000000" w:usb3="00000000" w:csb0="00000000" w:csb1="00000000"/>
    <w:embedRegular r:id="rId6" w:fontKey="{468169B7-89EE-4BAE-AA67-474ECCC612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829310" cy="201295"/>
              <wp:effectExtent l="0" t="0" r="0" b="0"/>
              <wp:wrapNone/>
              <wp:docPr id="6" name="文本框 5"/>
              <wp:cNvGraphicFramePr/>
              <a:graphic xmlns:a="http://schemas.openxmlformats.org/drawingml/2006/main">
                <a:graphicData uri="http://schemas.microsoft.com/office/word/2010/wordprocessingShape">
                  <wps:wsp>
                    <wps:cNvSpPr txBox="1"/>
                    <wps:spPr>
                      <a:xfrm>
                        <a:off x="0" y="0"/>
                        <a:ext cx="829310" cy="201295"/>
                      </a:xfrm>
                      <a:prstGeom prst="rect">
                        <a:avLst/>
                      </a:prstGeom>
                      <a:noFill/>
                      <a:ln>
                        <a:noFill/>
                      </a:ln>
                    </wps:spPr>
                    <wps:txbx>
                      <w:txbxContent>
                        <w:p>
                          <w:pPr>
                            <w:snapToGrid w:val="0"/>
                            <w:rPr>
                              <w:rFonts w:hint="eastAsia" w:eastAsia="宋体"/>
                              <w:sz w:val="18"/>
                              <w:lang w:eastAsia="zh-CN"/>
                            </w:rPr>
                          </w:pPr>
                          <w:r>
                            <w:rPr>
                              <w:rFonts w:hint="eastAsia"/>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t>1</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sz w:val="28"/>
                              <w:szCs w:val="28"/>
                              <w:lang w:val="en-US" w:eastAsia="zh-CN"/>
                            </w:rPr>
                            <w:t xml:space="preserve"> </w:t>
                          </w:r>
                        </w:p>
                      </w:txbxContent>
                    </wps:txbx>
                    <wps:bodyPr vert="horz" wrap="square" lIns="0" tIns="0" rIns="0" bIns="0" upright="0"/>
                  </wps:wsp>
                </a:graphicData>
              </a:graphic>
            </wp:anchor>
          </w:drawing>
        </mc:Choice>
        <mc:Fallback>
          <w:pict>
            <v:shape id="文本框 5" o:spid="_x0000_s1026" o:spt="202" type="#_x0000_t202" style="position:absolute;left:0pt;margin-top:-5.25pt;height:15.85pt;width:65.3pt;mso-position-horizontal:outside;mso-position-horizontal-relative:margin;z-index:251659264;mso-width-relative:page;mso-height-relative:page;" filled="f" stroked="f" coordsize="21600,21600" o:gfxdata="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UAgirW&#10;AAAABwEAAA8AAAAAAAAAAQAgAAAAIgAAAGRycy9kb3ducmV2LnhtbFBLAQIUABQAAAAIAIdO4kCW&#10;wqCCsAEAAD0DAAAOAAAAAAAAAAEAIAAAACUBAABkcnMvZTJvRG9jLnhtbFBLBQYAAAAABgAGAFkB&#10;AABHBQAAAAA=&#10;">
              <v:fill on="f" focussize="0,0"/>
              <v:stroke on="f"/>
              <v:imagedata o:title=""/>
              <o:lock v:ext="edit" aspectratio="f"/>
              <v:textbox inset="0mm,0mm,0mm,0mm">
                <w:txbxContent>
                  <w:p>
                    <w:pPr>
                      <w:snapToGrid w:val="0"/>
                      <w:rPr>
                        <w:rFonts w:hint="eastAsia" w:eastAsia="宋体"/>
                        <w:sz w:val="18"/>
                        <w:lang w:eastAsia="zh-CN"/>
                      </w:rPr>
                    </w:pPr>
                    <w:r>
                      <w:rPr>
                        <w:rFonts w:hint="eastAsia"/>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t>1</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-67310</wp:posOffset>
              </wp:positionV>
              <wp:extent cx="851535" cy="222885"/>
              <wp:effectExtent l="0" t="0" r="0" b="0"/>
              <wp:wrapNone/>
              <wp:docPr id="7" name="文本框 6"/>
              <wp:cNvGraphicFramePr/>
              <a:graphic xmlns:a="http://schemas.openxmlformats.org/drawingml/2006/main">
                <a:graphicData uri="http://schemas.microsoft.com/office/word/2010/wordprocessingShape">
                  <wps:wsp>
                    <wps:cNvSpPr txBox="1"/>
                    <wps:spPr>
                      <a:xfrm>
                        <a:off x="0" y="0"/>
                        <a:ext cx="851535" cy="222885"/>
                      </a:xfrm>
                      <a:prstGeom prst="rect">
                        <a:avLst/>
                      </a:prstGeom>
                      <a:noFill/>
                      <a:ln>
                        <a:noFill/>
                      </a:ln>
                    </wps:spPr>
                    <wps:txbx>
                      <w:txbxContent>
                        <w:p>
                          <w:pPr>
                            <w:snapToGrid w:val="0"/>
                            <w:rPr>
                              <w:rFonts w:hint="eastAsia" w:eastAsia="宋体"/>
                              <w:sz w:val="28"/>
                              <w:szCs w:val="28"/>
                              <w:lang w:eastAsia="zh-CN"/>
                            </w:rPr>
                          </w:pPr>
                          <w:r>
                            <w:rPr>
                              <w:rFonts w:hint="eastAsia"/>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wps:txbx>
                    <wps:bodyPr vert="horz" wrap="square" lIns="0" tIns="0" rIns="0" bIns="0" upright="0"/>
                  </wps:wsp>
                </a:graphicData>
              </a:graphic>
            </wp:anchor>
          </w:drawing>
        </mc:Choice>
        <mc:Fallback>
          <w:pict>
            <v:shape id="文本框 6" o:spid="_x0000_s1026" o:spt="202" type="#_x0000_t202" style="position:absolute;left:0pt;margin-left:0.05pt;margin-top:-5.3pt;height:17.55pt;width:67.05pt;mso-position-horizontal-relative:margin;z-index:251660288;mso-width-relative:page;mso-height-relative:page;" filled="f" stroked="f" coordsize="21600,21600" o:gfxdata="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KX1uvV&#10;AAAABwEAAA8AAAAAAAAAAQAgAAAAIgAAAGRycy9kb3ducmV2LnhtbFBLAQIUABQAAAAIAIdO4kAX&#10;eYSnsQEAAD0DAAAOAAAAAAAAAAEAIAAAACQBAABkcnMvZTJvRG9jLnhtbFBLBQYAAAAABgAGAFkB&#10;AABHBQAAAAA=&#10;">
              <v:fill on="f" focussize="0,0"/>
              <v:stroke on="f"/>
              <v:imagedata o:title=""/>
              <o:lock v:ext="edit" aspectratio="f"/>
              <v:textbox inset="0mm,0mm,0mm,0mm">
                <w:txbxContent>
                  <w:p>
                    <w:pPr>
                      <w:snapToGrid w:val="0"/>
                      <w:rPr>
                        <w:rFonts w:hint="eastAsia" w:eastAsia="宋体"/>
                        <w:sz w:val="28"/>
                        <w:szCs w:val="28"/>
                        <w:lang w:eastAsia="zh-CN"/>
                      </w:rPr>
                    </w:pPr>
                    <w:r>
                      <w:rPr>
                        <w:rFonts w:hint="eastAsia"/>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NzkzZjNjODc2OTNkZWMyYmQwNmNmYTEzY2E1ZmEifQ=="/>
  </w:docVars>
  <w:rsids>
    <w:rsidRoot w:val="00857CF2"/>
    <w:rsid w:val="00017C21"/>
    <w:rsid w:val="000211F3"/>
    <w:rsid w:val="000461F2"/>
    <w:rsid w:val="000679F1"/>
    <w:rsid w:val="000746EF"/>
    <w:rsid w:val="00080080"/>
    <w:rsid w:val="000A17A6"/>
    <w:rsid w:val="000A63F4"/>
    <w:rsid w:val="000D2D45"/>
    <w:rsid w:val="000D7F24"/>
    <w:rsid w:val="000E18CF"/>
    <w:rsid w:val="000F1B17"/>
    <w:rsid w:val="000F28BD"/>
    <w:rsid w:val="000F3CF0"/>
    <w:rsid w:val="001032D1"/>
    <w:rsid w:val="00106AD8"/>
    <w:rsid w:val="001164D1"/>
    <w:rsid w:val="001246EE"/>
    <w:rsid w:val="00131F33"/>
    <w:rsid w:val="001376DA"/>
    <w:rsid w:val="00137E9F"/>
    <w:rsid w:val="001402F2"/>
    <w:rsid w:val="00142595"/>
    <w:rsid w:val="00145921"/>
    <w:rsid w:val="00145BC1"/>
    <w:rsid w:val="001523C9"/>
    <w:rsid w:val="00160435"/>
    <w:rsid w:val="00164789"/>
    <w:rsid w:val="001648A0"/>
    <w:rsid w:val="001670DC"/>
    <w:rsid w:val="00195066"/>
    <w:rsid w:val="001A0A04"/>
    <w:rsid w:val="001C281C"/>
    <w:rsid w:val="001C778E"/>
    <w:rsid w:val="001D7686"/>
    <w:rsid w:val="001E14E8"/>
    <w:rsid w:val="001E2A02"/>
    <w:rsid w:val="00202C70"/>
    <w:rsid w:val="00212708"/>
    <w:rsid w:val="0024231A"/>
    <w:rsid w:val="00244E42"/>
    <w:rsid w:val="00255133"/>
    <w:rsid w:val="00255E8B"/>
    <w:rsid w:val="00263252"/>
    <w:rsid w:val="002706CE"/>
    <w:rsid w:val="00275E8D"/>
    <w:rsid w:val="00292BD7"/>
    <w:rsid w:val="002A26E3"/>
    <w:rsid w:val="002B35C4"/>
    <w:rsid w:val="002C7CF4"/>
    <w:rsid w:val="0030193E"/>
    <w:rsid w:val="003060C5"/>
    <w:rsid w:val="00312803"/>
    <w:rsid w:val="003327EC"/>
    <w:rsid w:val="0033426F"/>
    <w:rsid w:val="003531B8"/>
    <w:rsid w:val="0035689E"/>
    <w:rsid w:val="00363B8D"/>
    <w:rsid w:val="003B03EA"/>
    <w:rsid w:val="003B093E"/>
    <w:rsid w:val="003B2835"/>
    <w:rsid w:val="003B6DD0"/>
    <w:rsid w:val="003C1288"/>
    <w:rsid w:val="003F4391"/>
    <w:rsid w:val="003F6C0A"/>
    <w:rsid w:val="003F793A"/>
    <w:rsid w:val="00403AED"/>
    <w:rsid w:val="00404678"/>
    <w:rsid w:val="00404CBC"/>
    <w:rsid w:val="004127C2"/>
    <w:rsid w:val="004226EB"/>
    <w:rsid w:val="00444861"/>
    <w:rsid w:val="00454198"/>
    <w:rsid w:val="00462002"/>
    <w:rsid w:val="004624D4"/>
    <w:rsid w:val="00473FC4"/>
    <w:rsid w:val="00480572"/>
    <w:rsid w:val="00491CB3"/>
    <w:rsid w:val="00493AEB"/>
    <w:rsid w:val="004A48B5"/>
    <w:rsid w:val="004A6184"/>
    <w:rsid w:val="004B3827"/>
    <w:rsid w:val="004E6BAE"/>
    <w:rsid w:val="00504360"/>
    <w:rsid w:val="005077DA"/>
    <w:rsid w:val="00507804"/>
    <w:rsid w:val="005271C8"/>
    <w:rsid w:val="00540316"/>
    <w:rsid w:val="00544CD4"/>
    <w:rsid w:val="00552480"/>
    <w:rsid w:val="00564ED6"/>
    <w:rsid w:val="00566CFC"/>
    <w:rsid w:val="005707A2"/>
    <w:rsid w:val="00574DE5"/>
    <w:rsid w:val="005838C4"/>
    <w:rsid w:val="00583C5A"/>
    <w:rsid w:val="005A493A"/>
    <w:rsid w:val="005B5AE0"/>
    <w:rsid w:val="005D49B3"/>
    <w:rsid w:val="005D4B71"/>
    <w:rsid w:val="005E21DA"/>
    <w:rsid w:val="005E44B0"/>
    <w:rsid w:val="005F4B6C"/>
    <w:rsid w:val="00600864"/>
    <w:rsid w:val="006053F4"/>
    <w:rsid w:val="00624226"/>
    <w:rsid w:val="006255A2"/>
    <w:rsid w:val="00634DCA"/>
    <w:rsid w:val="00646ECF"/>
    <w:rsid w:val="0066584C"/>
    <w:rsid w:val="00673C09"/>
    <w:rsid w:val="006A1B0A"/>
    <w:rsid w:val="006B1A13"/>
    <w:rsid w:val="006C453C"/>
    <w:rsid w:val="006C78CC"/>
    <w:rsid w:val="006D5CAA"/>
    <w:rsid w:val="006D7E4A"/>
    <w:rsid w:val="006E0830"/>
    <w:rsid w:val="006F2367"/>
    <w:rsid w:val="00717F03"/>
    <w:rsid w:val="00724CB6"/>
    <w:rsid w:val="00734C1D"/>
    <w:rsid w:val="007373BE"/>
    <w:rsid w:val="007375BB"/>
    <w:rsid w:val="007377FD"/>
    <w:rsid w:val="0074061D"/>
    <w:rsid w:val="007463D8"/>
    <w:rsid w:val="00750D1D"/>
    <w:rsid w:val="00757485"/>
    <w:rsid w:val="00757F6D"/>
    <w:rsid w:val="00761D0F"/>
    <w:rsid w:val="00766599"/>
    <w:rsid w:val="00770F52"/>
    <w:rsid w:val="00772580"/>
    <w:rsid w:val="00797A5E"/>
    <w:rsid w:val="007A0DBB"/>
    <w:rsid w:val="007A187F"/>
    <w:rsid w:val="007A3BDF"/>
    <w:rsid w:val="007D0733"/>
    <w:rsid w:val="007F2039"/>
    <w:rsid w:val="007F2AC2"/>
    <w:rsid w:val="007F46C9"/>
    <w:rsid w:val="007F5F6C"/>
    <w:rsid w:val="008049FD"/>
    <w:rsid w:val="00804AC4"/>
    <w:rsid w:val="0080741A"/>
    <w:rsid w:val="00815C29"/>
    <w:rsid w:val="0082101D"/>
    <w:rsid w:val="00821748"/>
    <w:rsid w:val="00826E51"/>
    <w:rsid w:val="008565B8"/>
    <w:rsid w:val="00857CF2"/>
    <w:rsid w:val="008662D5"/>
    <w:rsid w:val="0086754A"/>
    <w:rsid w:val="008D34E3"/>
    <w:rsid w:val="008D6B31"/>
    <w:rsid w:val="008D6FA6"/>
    <w:rsid w:val="008E3CAA"/>
    <w:rsid w:val="008F4778"/>
    <w:rsid w:val="0092067D"/>
    <w:rsid w:val="0092102A"/>
    <w:rsid w:val="00921376"/>
    <w:rsid w:val="00923E56"/>
    <w:rsid w:val="00925F17"/>
    <w:rsid w:val="0093707C"/>
    <w:rsid w:val="0094186E"/>
    <w:rsid w:val="009435D1"/>
    <w:rsid w:val="00960254"/>
    <w:rsid w:val="00964430"/>
    <w:rsid w:val="00964F26"/>
    <w:rsid w:val="00966DA4"/>
    <w:rsid w:val="00975050"/>
    <w:rsid w:val="00975A53"/>
    <w:rsid w:val="00980CDB"/>
    <w:rsid w:val="00981AD9"/>
    <w:rsid w:val="0098342B"/>
    <w:rsid w:val="00983BC1"/>
    <w:rsid w:val="009859E7"/>
    <w:rsid w:val="00986ED7"/>
    <w:rsid w:val="009C2025"/>
    <w:rsid w:val="009C4A50"/>
    <w:rsid w:val="009F1035"/>
    <w:rsid w:val="009F29EC"/>
    <w:rsid w:val="00A0451A"/>
    <w:rsid w:val="00A107D5"/>
    <w:rsid w:val="00A32CF6"/>
    <w:rsid w:val="00A40325"/>
    <w:rsid w:val="00A40BBE"/>
    <w:rsid w:val="00A540FB"/>
    <w:rsid w:val="00A5417E"/>
    <w:rsid w:val="00A55F61"/>
    <w:rsid w:val="00A65907"/>
    <w:rsid w:val="00A74E7C"/>
    <w:rsid w:val="00A90792"/>
    <w:rsid w:val="00A96248"/>
    <w:rsid w:val="00AA0D20"/>
    <w:rsid w:val="00AA2AB4"/>
    <w:rsid w:val="00AB241C"/>
    <w:rsid w:val="00AC05C5"/>
    <w:rsid w:val="00AC46A5"/>
    <w:rsid w:val="00AC4A6F"/>
    <w:rsid w:val="00AC6456"/>
    <w:rsid w:val="00AD2542"/>
    <w:rsid w:val="00AD41FB"/>
    <w:rsid w:val="00AE16A2"/>
    <w:rsid w:val="00AE50A0"/>
    <w:rsid w:val="00B027C4"/>
    <w:rsid w:val="00B13E7C"/>
    <w:rsid w:val="00B1512E"/>
    <w:rsid w:val="00B22842"/>
    <w:rsid w:val="00B25584"/>
    <w:rsid w:val="00B4280E"/>
    <w:rsid w:val="00B50576"/>
    <w:rsid w:val="00B520D1"/>
    <w:rsid w:val="00B71095"/>
    <w:rsid w:val="00B74263"/>
    <w:rsid w:val="00B85439"/>
    <w:rsid w:val="00B915E4"/>
    <w:rsid w:val="00BA2940"/>
    <w:rsid w:val="00BB35D8"/>
    <w:rsid w:val="00BB3BD7"/>
    <w:rsid w:val="00BB3D0A"/>
    <w:rsid w:val="00BB4028"/>
    <w:rsid w:val="00BC1CF7"/>
    <w:rsid w:val="00BD2FB5"/>
    <w:rsid w:val="00BE2DC7"/>
    <w:rsid w:val="00C03671"/>
    <w:rsid w:val="00C04055"/>
    <w:rsid w:val="00C22775"/>
    <w:rsid w:val="00C32A29"/>
    <w:rsid w:val="00C406CA"/>
    <w:rsid w:val="00C46E19"/>
    <w:rsid w:val="00C53F26"/>
    <w:rsid w:val="00C76B41"/>
    <w:rsid w:val="00C81614"/>
    <w:rsid w:val="00CA2B61"/>
    <w:rsid w:val="00CB1054"/>
    <w:rsid w:val="00CB19F8"/>
    <w:rsid w:val="00CB37F9"/>
    <w:rsid w:val="00CB3FD9"/>
    <w:rsid w:val="00CC3D18"/>
    <w:rsid w:val="00CC4A53"/>
    <w:rsid w:val="00CD15F6"/>
    <w:rsid w:val="00D0088A"/>
    <w:rsid w:val="00D14E3F"/>
    <w:rsid w:val="00D16F15"/>
    <w:rsid w:val="00D27699"/>
    <w:rsid w:val="00D31A48"/>
    <w:rsid w:val="00D32ABB"/>
    <w:rsid w:val="00D359B8"/>
    <w:rsid w:val="00D41EFF"/>
    <w:rsid w:val="00D43A72"/>
    <w:rsid w:val="00D4466B"/>
    <w:rsid w:val="00D639C1"/>
    <w:rsid w:val="00D77A05"/>
    <w:rsid w:val="00D92496"/>
    <w:rsid w:val="00DA32C2"/>
    <w:rsid w:val="00DB57FF"/>
    <w:rsid w:val="00DD13B8"/>
    <w:rsid w:val="00DD3A8D"/>
    <w:rsid w:val="00DD5AAF"/>
    <w:rsid w:val="00DE2A95"/>
    <w:rsid w:val="00DE3281"/>
    <w:rsid w:val="00DE4936"/>
    <w:rsid w:val="00DF258C"/>
    <w:rsid w:val="00E119FA"/>
    <w:rsid w:val="00E4121A"/>
    <w:rsid w:val="00E41E5C"/>
    <w:rsid w:val="00E437E3"/>
    <w:rsid w:val="00E60AB5"/>
    <w:rsid w:val="00E718BE"/>
    <w:rsid w:val="00E7694B"/>
    <w:rsid w:val="00E777EF"/>
    <w:rsid w:val="00E8309B"/>
    <w:rsid w:val="00E8592D"/>
    <w:rsid w:val="00E950D7"/>
    <w:rsid w:val="00E978E4"/>
    <w:rsid w:val="00EA42FF"/>
    <w:rsid w:val="00EB007F"/>
    <w:rsid w:val="00EB4B7B"/>
    <w:rsid w:val="00EC1441"/>
    <w:rsid w:val="00EC3253"/>
    <w:rsid w:val="00EC3E47"/>
    <w:rsid w:val="00EC78B5"/>
    <w:rsid w:val="00ED759E"/>
    <w:rsid w:val="00ED7690"/>
    <w:rsid w:val="00EE44AA"/>
    <w:rsid w:val="00EF424F"/>
    <w:rsid w:val="00EF5121"/>
    <w:rsid w:val="00F05884"/>
    <w:rsid w:val="00F12932"/>
    <w:rsid w:val="00F17B33"/>
    <w:rsid w:val="00F300B2"/>
    <w:rsid w:val="00F60425"/>
    <w:rsid w:val="00F84DCC"/>
    <w:rsid w:val="00F85DAA"/>
    <w:rsid w:val="00F90736"/>
    <w:rsid w:val="00F96B4E"/>
    <w:rsid w:val="00FB0C4B"/>
    <w:rsid w:val="00FB0E43"/>
    <w:rsid w:val="00FC646B"/>
    <w:rsid w:val="00FE5AED"/>
    <w:rsid w:val="00FE71FE"/>
    <w:rsid w:val="00FF1B9A"/>
    <w:rsid w:val="018C5B9E"/>
    <w:rsid w:val="01B2336A"/>
    <w:rsid w:val="01C51FE4"/>
    <w:rsid w:val="02722BA5"/>
    <w:rsid w:val="02902837"/>
    <w:rsid w:val="0297551F"/>
    <w:rsid w:val="0319199F"/>
    <w:rsid w:val="038214C8"/>
    <w:rsid w:val="03F90D32"/>
    <w:rsid w:val="0444709D"/>
    <w:rsid w:val="04CD2DED"/>
    <w:rsid w:val="04ED04AC"/>
    <w:rsid w:val="059E3A56"/>
    <w:rsid w:val="05CE49B4"/>
    <w:rsid w:val="05D97231"/>
    <w:rsid w:val="06030EE3"/>
    <w:rsid w:val="06040931"/>
    <w:rsid w:val="062C7C3F"/>
    <w:rsid w:val="064C6360"/>
    <w:rsid w:val="06852909"/>
    <w:rsid w:val="06E07B38"/>
    <w:rsid w:val="072E18E6"/>
    <w:rsid w:val="07525DC6"/>
    <w:rsid w:val="078715FD"/>
    <w:rsid w:val="07F85F92"/>
    <w:rsid w:val="080B5F47"/>
    <w:rsid w:val="08C3637E"/>
    <w:rsid w:val="092A1DB3"/>
    <w:rsid w:val="094A7FE0"/>
    <w:rsid w:val="095156B0"/>
    <w:rsid w:val="098706E0"/>
    <w:rsid w:val="0A451F66"/>
    <w:rsid w:val="0AB70273"/>
    <w:rsid w:val="0AE2079C"/>
    <w:rsid w:val="0BA42C29"/>
    <w:rsid w:val="0C071250"/>
    <w:rsid w:val="0C7B3DDD"/>
    <w:rsid w:val="0C8B5DDC"/>
    <w:rsid w:val="0D6D15A6"/>
    <w:rsid w:val="0E296D35"/>
    <w:rsid w:val="0E372A20"/>
    <w:rsid w:val="0EF77A26"/>
    <w:rsid w:val="0F6A3F62"/>
    <w:rsid w:val="0FAC75BC"/>
    <w:rsid w:val="0FC35F83"/>
    <w:rsid w:val="0FE23800"/>
    <w:rsid w:val="0FF518C4"/>
    <w:rsid w:val="10145ADD"/>
    <w:rsid w:val="102B70FE"/>
    <w:rsid w:val="109D5A50"/>
    <w:rsid w:val="111F7B01"/>
    <w:rsid w:val="11A15C11"/>
    <w:rsid w:val="11F538B9"/>
    <w:rsid w:val="12C7202E"/>
    <w:rsid w:val="13AB1BC5"/>
    <w:rsid w:val="13BB0407"/>
    <w:rsid w:val="13D54396"/>
    <w:rsid w:val="14C46EFF"/>
    <w:rsid w:val="14CD23BC"/>
    <w:rsid w:val="15251DDD"/>
    <w:rsid w:val="15A76EBD"/>
    <w:rsid w:val="15F5721E"/>
    <w:rsid w:val="15F823CB"/>
    <w:rsid w:val="16213C8E"/>
    <w:rsid w:val="16260017"/>
    <w:rsid w:val="164B0992"/>
    <w:rsid w:val="171D097B"/>
    <w:rsid w:val="17B91445"/>
    <w:rsid w:val="17C363FE"/>
    <w:rsid w:val="17D0261A"/>
    <w:rsid w:val="180B688D"/>
    <w:rsid w:val="19EF39B4"/>
    <w:rsid w:val="1A0A7050"/>
    <w:rsid w:val="1AA63F7A"/>
    <w:rsid w:val="1B101B15"/>
    <w:rsid w:val="1B553FB4"/>
    <w:rsid w:val="1BB61672"/>
    <w:rsid w:val="1BE31922"/>
    <w:rsid w:val="1C626477"/>
    <w:rsid w:val="1ED12394"/>
    <w:rsid w:val="1F2C46E0"/>
    <w:rsid w:val="1F4916E4"/>
    <w:rsid w:val="1FA8029B"/>
    <w:rsid w:val="1FA976A3"/>
    <w:rsid w:val="1FAF676A"/>
    <w:rsid w:val="1FDE2C69"/>
    <w:rsid w:val="1FE06625"/>
    <w:rsid w:val="20091623"/>
    <w:rsid w:val="20267218"/>
    <w:rsid w:val="203F4CE1"/>
    <w:rsid w:val="204934ED"/>
    <w:rsid w:val="206E043A"/>
    <w:rsid w:val="20900731"/>
    <w:rsid w:val="209A6308"/>
    <w:rsid w:val="20FD7331"/>
    <w:rsid w:val="21305574"/>
    <w:rsid w:val="21816BA2"/>
    <w:rsid w:val="228B7639"/>
    <w:rsid w:val="22AD24F0"/>
    <w:rsid w:val="22DD5936"/>
    <w:rsid w:val="23254835"/>
    <w:rsid w:val="23800368"/>
    <w:rsid w:val="2390670A"/>
    <w:rsid w:val="2416004C"/>
    <w:rsid w:val="24243AAB"/>
    <w:rsid w:val="24380114"/>
    <w:rsid w:val="246E1DDE"/>
    <w:rsid w:val="249F3174"/>
    <w:rsid w:val="24F33E4B"/>
    <w:rsid w:val="250474E4"/>
    <w:rsid w:val="2536531C"/>
    <w:rsid w:val="25E710C9"/>
    <w:rsid w:val="25EC5D05"/>
    <w:rsid w:val="25EC6FEB"/>
    <w:rsid w:val="26582A69"/>
    <w:rsid w:val="268C031C"/>
    <w:rsid w:val="27670B08"/>
    <w:rsid w:val="276D6B43"/>
    <w:rsid w:val="27C13ED0"/>
    <w:rsid w:val="27E94CF2"/>
    <w:rsid w:val="2803466B"/>
    <w:rsid w:val="28655297"/>
    <w:rsid w:val="28BD2C43"/>
    <w:rsid w:val="28DC338C"/>
    <w:rsid w:val="2941740C"/>
    <w:rsid w:val="29E85279"/>
    <w:rsid w:val="2A0926AC"/>
    <w:rsid w:val="2A147E3B"/>
    <w:rsid w:val="2A31131B"/>
    <w:rsid w:val="2AE35694"/>
    <w:rsid w:val="2B686AAA"/>
    <w:rsid w:val="2B7845AF"/>
    <w:rsid w:val="2B8829FC"/>
    <w:rsid w:val="2BB0572F"/>
    <w:rsid w:val="2C4B46C5"/>
    <w:rsid w:val="2C4C3B2A"/>
    <w:rsid w:val="2C5E75C0"/>
    <w:rsid w:val="2C8E3994"/>
    <w:rsid w:val="2CF75E51"/>
    <w:rsid w:val="2D1001F0"/>
    <w:rsid w:val="2D2D2050"/>
    <w:rsid w:val="2D2D73F0"/>
    <w:rsid w:val="2DF8426F"/>
    <w:rsid w:val="2E65663D"/>
    <w:rsid w:val="2E942D20"/>
    <w:rsid w:val="2F454C77"/>
    <w:rsid w:val="2F4824E9"/>
    <w:rsid w:val="30314CB3"/>
    <w:rsid w:val="304C34FA"/>
    <w:rsid w:val="30C00BC7"/>
    <w:rsid w:val="30D41415"/>
    <w:rsid w:val="30D73249"/>
    <w:rsid w:val="30E82645"/>
    <w:rsid w:val="310F6787"/>
    <w:rsid w:val="31414D49"/>
    <w:rsid w:val="31586D50"/>
    <w:rsid w:val="31BA3405"/>
    <w:rsid w:val="321E68FC"/>
    <w:rsid w:val="3238374F"/>
    <w:rsid w:val="32995CF1"/>
    <w:rsid w:val="33092743"/>
    <w:rsid w:val="33733231"/>
    <w:rsid w:val="33815613"/>
    <w:rsid w:val="346563C6"/>
    <w:rsid w:val="35205C23"/>
    <w:rsid w:val="3552387E"/>
    <w:rsid w:val="358024D4"/>
    <w:rsid w:val="359D14B3"/>
    <w:rsid w:val="35B11A31"/>
    <w:rsid w:val="368A2987"/>
    <w:rsid w:val="36A56C3F"/>
    <w:rsid w:val="36B25A48"/>
    <w:rsid w:val="36B545EF"/>
    <w:rsid w:val="36DA234B"/>
    <w:rsid w:val="37242A05"/>
    <w:rsid w:val="3751174E"/>
    <w:rsid w:val="379F7EE7"/>
    <w:rsid w:val="380818F8"/>
    <w:rsid w:val="385211EF"/>
    <w:rsid w:val="388F5F0B"/>
    <w:rsid w:val="392C0434"/>
    <w:rsid w:val="392C148C"/>
    <w:rsid w:val="39B06FD9"/>
    <w:rsid w:val="39B65B77"/>
    <w:rsid w:val="39DC48B4"/>
    <w:rsid w:val="3A2005AC"/>
    <w:rsid w:val="3A6E739F"/>
    <w:rsid w:val="3A9C396A"/>
    <w:rsid w:val="3AFF1B5E"/>
    <w:rsid w:val="3B2D38F5"/>
    <w:rsid w:val="3B40776C"/>
    <w:rsid w:val="3B6405FB"/>
    <w:rsid w:val="3B896116"/>
    <w:rsid w:val="3BC927BB"/>
    <w:rsid w:val="3BE42123"/>
    <w:rsid w:val="3C1E1294"/>
    <w:rsid w:val="3C233167"/>
    <w:rsid w:val="3C665AB2"/>
    <w:rsid w:val="3CB96A3E"/>
    <w:rsid w:val="3DAA3C2F"/>
    <w:rsid w:val="3E0F597E"/>
    <w:rsid w:val="3EC32021"/>
    <w:rsid w:val="3EC5587E"/>
    <w:rsid w:val="3F2150E3"/>
    <w:rsid w:val="3F513614"/>
    <w:rsid w:val="3F87214D"/>
    <w:rsid w:val="3FDA0F5D"/>
    <w:rsid w:val="3FE03CE2"/>
    <w:rsid w:val="402D1927"/>
    <w:rsid w:val="404D1449"/>
    <w:rsid w:val="40980F08"/>
    <w:rsid w:val="40E77100"/>
    <w:rsid w:val="420E5EC6"/>
    <w:rsid w:val="421538F8"/>
    <w:rsid w:val="42563570"/>
    <w:rsid w:val="43104E14"/>
    <w:rsid w:val="43925F71"/>
    <w:rsid w:val="43E46E13"/>
    <w:rsid w:val="446D3AB6"/>
    <w:rsid w:val="448D00B4"/>
    <w:rsid w:val="454E296C"/>
    <w:rsid w:val="46540BB3"/>
    <w:rsid w:val="46E240FC"/>
    <w:rsid w:val="478E33A7"/>
    <w:rsid w:val="47E01BBD"/>
    <w:rsid w:val="48F00E49"/>
    <w:rsid w:val="49665820"/>
    <w:rsid w:val="497A2D6C"/>
    <w:rsid w:val="49D20FCA"/>
    <w:rsid w:val="4AAD0439"/>
    <w:rsid w:val="4AEE3AAE"/>
    <w:rsid w:val="4B1F0335"/>
    <w:rsid w:val="4B41572C"/>
    <w:rsid w:val="4B65099F"/>
    <w:rsid w:val="4B7C6012"/>
    <w:rsid w:val="4B991FDC"/>
    <w:rsid w:val="4BFF64FC"/>
    <w:rsid w:val="4C71202C"/>
    <w:rsid w:val="4C7810EA"/>
    <w:rsid w:val="4CD53574"/>
    <w:rsid w:val="4CF82328"/>
    <w:rsid w:val="4D6943DC"/>
    <w:rsid w:val="4DE3395C"/>
    <w:rsid w:val="4DEA01C9"/>
    <w:rsid w:val="4F121D23"/>
    <w:rsid w:val="4F156F60"/>
    <w:rsid w:val="4F2B67E1"/>
    <w:rsid w:val="4F7C3D5E"/>
    <w:rsid w:val="4FFA37AF"/>
    <w:rsid w:val="5072738D"/>
    <w:rsid w:val="508F687D"/>
    <w:rsid w:val="509F009E"/>
    <w:rsid w:val="50A27BDE"/>
    <w:rsid w:val="50CE5CFC"/>
    <w:rsid w:val="50FB2E7B"/>
    <w:rsid w:val="51114C78"/>
    <w:rsid w:val="51341D83"/>
    <w:rsid w:val="513F4B59"/>
    <w:rsid w:val="5158664D"/>
    <w:rsid w:val="51C71C1F"/>
    <w:rsid w:val="5243053E"/>
    <w:rsid w:val="528138A6"/>
    <w:rsid w:val="528B6364"/>
    <w:rsid w:val="52AC237C"/>
    <w:rsid w:val="52E209FB"/>
    <w:rsid w:val="53043434"/>
    <w:rsid w:val="533F3B8E"/>
    <w:rsid w:val="534D143C"/>
    <w:rsid w:val="53D077B3"/>
    <w:rsid w:val="541E1CE5"/>
    <w:rsid w:val="54660FA0"/>
    <w:rsid w:val="54AC3E6C"/>
    <w:rsid w:val="54EC15AE"/>
    <w:rsid w:val="55176E0C"/>
    <w:rsid w:val="553E0B7C"/>
    <w:rsid w:val="55A80DE5"/>
    <w:rsid w:val="56000EAC"/>
    <w:rsid w:val="569C081E"/>
    <w:rsid w:val="56A84B50"/>
    <w:rsid w:val="57980CAB"/>
    <w:rsid w:val="585D52FB"/>
    <w:rsid w:val="5A033EB2"/>
    <w:rsid w:val="5A0B4550"/>
    <w:rsid w:val="5A3B0686"/>
    <w:rsid w:val="5A6732A7"/>
    <w:rsid w:val="5A6D01D8"/>
    <w:rsid w:val="5A872445"/>
    <w:rsid w:val="5AB13AEE"/>
    <w:rsid w:val="5AE10BEE"/>
    <w:rsid w:val="5B0574CC"/>
    <w:rsid w:val="5B491261"/>
    <w:rsid w:val="5B7B5651"/>
    <w:rsid w:val="5BCC4E29"/>
    <w:rsid w:val="5C7C2B70"/>
    <w:rsid w:val="5C837116"/>
    <w:rsid w:val="5C8C4AAC"/>
    <w:rsid w:val="5CCF2407"/>
    <w:rsid w:val="5D165ED6"/>
    <w:rsid w:val="5D232127"/>
    <w:rsid w:val="5D514713"/>
    <w:rsid w:val="5D5C6A44"/>
    <w:rsid w:val="5D9A6986"/>
    <w:rsid w:val="5DF241B7"/>
    <w:rsid w:val="5E0B7C99"/>
    <w:rsid w:val="5E3D2DDF"/>
    <w:rsid w:val="5FB9034B"/>
    <w:rsid w:val="5FC11085"/>
    <w:rsid w:val="5FC57711"/>
    <w:rsid w:val="603A28C2"/>
    <w:rsid w:val="606C2B17"/>
    <w:rsid w:val="60706D91"/>
    <w:rsid w:val="61677A03"/>
    <w:rsid w:val="61947FF7"/>
    <w:rsid w:val="623201E4"/>
    <w:rsid w:val="6272449C"/>
    <w:rsid w:val="62B03978"/>
    <w:rsid w:val="62D208DD"/>
    <w:rsid w:val="634C331E"/>
    <w:rsid w:val="637707F8"/>
    <w:rsid w:val="63B24713"/>
    <w:rsid w:val="645A70BA"/>
    <w:rsid w:val="646143F3"/>
    <w:rsid w:val="646D5DDC"/>
    <w:rsid w:val="64936033"/>
    <w:rsid w:val="64B433E5"/>
    <w:rsid w:val="64BE5D59"/>
    <w:rsid w:val="65774F5E"/>
    <w:rsid w:val="65AC60F4"/>
    <w:rsid w:val="65B07B58"/>
    <w:rsid w:val="65B72E5A"/>
    <w:rsid w:val="660C12A3"/>
    <w:rsid w:val="661E413F"/>
    <w:rsid w:val="663B70AB"/>
    <w:rsid w:val="66406D65"/>
    <w:rsid w:val="669C620B"/>
    <w:rsid w:val="66BB49FF"/>
    <w:rsid w:val="674F74C0"/>
    <w:rsid w:val="67834210"/>
    <w:rsid w:val="67ED0F1D"/>
    <w:rsid w:val="68BB2A92"/>
    <w:rsid w:val="691C09B0"/>
    <w:rsid w:val="696A6509"/>
    <w:rsid w:val="69AF78A6"/>
    <w:rsid w:val="6A0044D4"/>
    <w:rsid w:val="6AA77192"/>
    <w:rsid w:val="6AB61B9D"/>
    <w:rsid w:val="6AE87664"/>
    <w:rsid w:val="6B1E49DF"/>
    <w:rsid w:val="6B3B39FE"/>
    <w:rsid w:val="6BE903A5"/>
    <w:rsid w:val="6BF905B2"/>
    <w:rsid w:val="6C056F6E"/>
    <w:rsid w:val="6C470642"/>
    <w:rsid w:val="6CD92309"/>
    <w:rsid w:val="6CE304F4"/>
    <w:rsid w:val="6D006ACF"/>
    <w:rsid w:val="6D0C5126"/>
    <w:rsid w:val="6D5F2DEC"/>
    <w:rsid w:val="6DBC4D22"/>
    <w:rsid w:val="6DF91CB2"/>
    <w:rsid w:val="6EF7123B"/>
    <w:rsid w:val="6F4062CD"/>
    <w:rsid w:val="6F69277E"/>
    <w:rsid w:val="6F8A4A0A"/>
    <w:rsid w:val="70554BC5"/>
    <w:rsid w:val="70835C9D"/>
    <w:rsid w:val="70FB2BA6"/>
    <w:rsid w:val="711D5FC0"/>
    <w:rsid w:val="713759CB"/>
    <w:rsid w:val="715233EA"/>
    <w:rsid w:val="716C1C40"/>
    <w:rsid w:val="71971D7F"/>
    <w:rsid w:val="729C37C1"/>
    <w:rsid w:val="72C50203"/>
    <w:rsid w:val="72CA6952"/>
    <w:rsid w:val="72DA4A38"/>
    <w:rsid w:val="72E203D4"/>
    <w:rsid w:val="72F8448A"/>
    <w:rsid w:val="72FB3280"/>
    <w:rsid w:val="730854CD"/>
    <w:rsid w:val="73570DCB"/>
    <w:rsid w:val="73BC5F41"/>
    <w:rsid w:val="741E50AC"/>
    <w:rsid w:val="74321C82"/>
    <w:rsid w:val="74553458"/>
    <w:rsid w:val="74635859"/>
    <w:rsid w:val="747674B0"/>
    <w:rsid w:val="74CE56CA"/>
    <w:rsid w:val="753115DD"/>
    <w:rsid w:val="758E0E8F"/>
    <w:rsid w:val="75AE2E82"/>
    <w:rsid w:val="75B75E57"/>
    <w:rsid w:val="76440614"/>
    <w:rsid w:val="76AC2355"/>
    <w:rsid w:val="773147A2"/>
    <w:rsid w:val="77C62998"/>
    <w:rsid w:val="78ED232C"/>
    <w:rsid w:val="79970DA6"/>
    <w:rsid w:val="79C034AD"/>
    <w:rsid w:val="79E90175"/>
    <w:rsid w:val="79FF0ADD"/>
    <w:rsid w:val="7A0B4540"/>
    <w:rsid w:val="7A155ED3"/>
    <w:rsid w:val="7A2130C5"/>
    <w:rsid w:val="7A7A44B1"/>
    <w:rsid w:val="7AB07545"/>
    <w:rsid w:val="7ADA70DF"/>
    <w:rsid w:val="7B102095"/>
    <w:rsid w:val="7C53793A"/>
    <w:rsid w:val="7CCB6994"/>
    <w:rsid w:val="7DBD5BA6"/>
    <w:rsid w:val="7E7F665F"/>
    <w:rsid w:val="7EB1381A"/>
    <w:rsid w:val="7F155A8D"/>
    <w:rsid w:val="7FA03CF4"/>
    <w:rsid w:val="7FFD4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5">
    <w:name w:val="heading 6"/>
    <w:basedOn w:val="1"/>
    <w:next w:val="1"/>
    <w:qFormat/>
    <w:uiPriority w:val="0"/>
    <w:pPr>
      <w:keepNext/>
      <w:keepLines/>
      <w:spacing w:line="317" w:lineRule="auto"/>
      <w:outlineLvl w:val="5"/>
    </w:pPr>
    <w:rPr>
      <w:rFonts w:ascii="Arial" w:hAnsi="Arial" w:eastAsia="黑体"/>
      <w:b/>
      <w:bCs/>
      <w:sz w:val="24"/>
    </w:rPr>
  </w:style>
  <w:style w:type="character" w:default="1" w:styleId="18">
    <w:name w:val="Default Paragraph Font"/>
    <w:link w:val="19"/>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BodyText"/>
    <w:qFormat/>
    <w:uiPriority w:val="0"/>
    <w:pPr>
      <w:widowControl w:val="0"/>
      <w:suppressAutoHyphens/>
      <w:spacing w:after="140" w:line="276" w:lineRule="auto"/>
      <w:jc w:val="both"/>
      <w:textAlignment w:val="baseline"/>
    </w:pPr>
    <w:rPr>
      <w:rFonts w:ascii="Calibri" w:hAnsi="Calibri" w:eastAsia="宋体" w:cs="Times New Roman"/>
      <w:kern w:val="2"/>
      <w:sz w:val="21"/>
      <w:szCs w:val="22"/>
      <w:lang w:val="en-US" w:eastAsia="zh-CN" w:bidi="ar-SA"/>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qFormat/>
    <w:uiPriority w:val="0"/>
    <w:pPr>
      <w:jc w:val="left"/>
    </w:pPr>
  </w:style>
  <w:style w:type="paragraph" w:styleId="8">
    <w:name w:val="Body Text"/>
    <w:basedOn w:val="1"/>
    <w:qFormat/>
    <w:uiPriority w:val="0"/>
    <w:pPr>
      <w:spacing w:line="520" w:lineRule="exact"/>
    </w:pPr>
    <w:rPr>
      <w:rFonts w:ascii="仿宋_GB2312" w:eastAsia="仿宋_GB2312"/>
      <w:b/>
      <w:sz w:val="32"/>
    </w:rPr>
  </w:style>
  <w:style w:type="paragraph" w:styleId="9">
    <w:name w:val="Body Text Indent"/>
    <w:basedOn w:val="1"/>
    <w:qFormat/>
    <w:uiPriority w:val="0"/>
    <w:pPr>
      <w:spacing w:line="560" w:lineRule="exact"/>
      <w:ind w:firstLine="640" w:firstLineChars="200"/>
    </w:pPr>
    <w:rPr>
      <w:sz w:val="32"/>
    </w:rPr>
  </w:style>
  <w:style w:type="paragraph" w:styleId="10">
    <w:name w:val="Plain Text"/>
    <w:basedOn w:val="1"/>
    <w:qFormat/>
    <w:uiPriority w:val="0"/>
    <w:rPr>
      <w:rFonts w:ascii="宋体" w:hAnsi="Courier New"/>
      <w:szCs w:val="21"/>
    </w:rPr>
  </w:style>
  <w:style w:type="paragraph" w:styleId="11">
    <w:name w:val="Body Text Indent 2"/>
    <w:basedOn w:val="1"/>
    <w:qFormat/>
    <w:uiPriority w:val="0"/>
    <w:pPr>
      <w:spacing w:line="560" w:lineRule="exact"/>
      <w:ind w:firstLine="643" w:firstLineChars="200"/>
    </w:pPr>
    <w:rPr>
      <w:rFonts w:eastAsia="仿宋_GB2312"/>
      <w:b/>
      <w:bCs/>
      <w:sz w:val="32"/>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ind w:left="645"/>
    </w:pPr>
    <w:rPr>
      <w:rFonts w:ascii="仿宋_GB2312" w:eastAsia="仿宋_GB2312"/>
      <w:sz w:val="32"/>
    </w:rPr>
  </w:style>
  <w:style w:type="paragraph" w:styleId="1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9">
    <w:name w:val=" Char Char11 Char Char"/>
    <w:basedOn w:val="1"/>
    <w:link w:val="18"/>
    <w:qFormat/>
    <w:uiPriority w:val="0"/>
  </w:style>
  <w:style w:type="character" w:styleId="20">
    <w:name w:val="Strong"/>
    <w:basedOn w:val="18"/>
    <w:qFormat/>
    <w:uiPriority w:val="0"/>
    <w:rPr>
      <w:b/>
      <w:bCs/>
    </w:rPr>
  </w:style>
  <w:style w:type="character" w:styleId="21">
    <w:name w:val="page number"/>
    <w:basedOn w:val="18"/>
    <w:qFormat/>
    <w:uiPriority w:val="0"/>
  </w:style>
  <w:style w:type="character" w:styleId="22">
    <w:name w:val="FollowedHyperlink"/>
    <w:basedOn w:val="18"/>
    <w:qFormat/>
    <w:uiPriority w:val="0"/>
    <w:rPr>
      <w:color w:val="333333"/>
      <w:u w:val="none"/>
    </w:rPr>
  </w:style>
  <w:style w:type="character" w:styleId="23">
    <w:name w:val="Emphasis"/>
    <w:basedOn w:val="18"/>
    <w:qFormat/>
    <w:uiPriority w:val="0"/>
  </w:style>
  <w:style w:type="character" w:styleId="24">
    <w:name w:val="Hyperlink"/>
    <w:basedOn w:val="18"/>
    <w:qFormat/>
    <w:uiPriority w:val="0"/>
    <w:rPr>
      <w:color w:val="333333"/>
      <w:u w:val="none"/>
    </w:rPr>
  </w:style>
  <w:style w:type="paragraph" w:customStyle="1" w:styleId="25">
    <w:name w:val="UserStyle_0"/>
    <w:basedOn w:val="1"/>
    <w:qFormat/>
    <w:uiPriority w:val="0"/>
    <w:pPr>
      <w:ind w:firstLine="420" w:firstLineChars="200"/>
      <w:jc w:val="both"/>
      <w:textAlignment w:val="baseline"/>
    </w:pPr>
  </w:style>
  <w:style w:type="paragraph" w:customStyle="1" w:styleId="26">
    <w:name w:val=" Char1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
    <w:name w:val=" Char"/>
    <w:basedOn w:val="1"/>
    <w:qFormat/>
    <w:uiPriority w:val="0"/>
    <w:rPr>
      <w:szCs w:val="20"/>
    </w:rPr>
  </w:style>
  <w:style w:type="paragraph" w:customStyle="1" w:styleId="28">
    <w:name w:val="Default"/>
    <w:unhideWhenUsed/>
    <w:qFormat/>
    <w:uiPriority w:val="99"/>
    <w:pPr>
      <w:widowControl w:val="0"/>
      <w:autoSpaceDE w:val="0"/>
      <w:autoSpaceDN w:val="0"/>
      <w:adjustRightInd w:val="0"/>
      <w:spacing w:beforeLines="0" w:afterLines="0"/>
    </w:pPr>
    <w:rPr>
      <w:rFonts w:hint="default" w:ascii="仿宋" w:hAnsi="仿宋" w:eastAsia="仿宋" w:cs="Times New Roman"/>
      <w:color w:val="000000"/>
      <w:sz w:val="24"/>
    </w:rPr>
  </w:style>
  <w:style w:type="paragraph" w:customStyle="1" w:styleId="29">
    <w:name w:val="列表段落1"/>
    <w:basedOn w:val="1"/>
    <w:qFormat/>
    <w:uiPriority w:val="99"/>
    <w:pPr>
      <w:ind w:firstLine="420" w:firstLineChars="200"/>
    </w:pPr>
  </w:style>
  <w:style w:type="paragraph" w:customStyle="1" w:styleId="30">
    <w:name w:val="列出段落"/>
    <w:basedOn w:val="1"/>
    <w:qFormat/>
    <w:uiPriority w:val="0"/>
    <w:pPr>
      <w:widowControl/>
      <w:ind w:firstLine="420" w:firstLineChars="200"/>
      <w:jc w:val="left"/>
    </w:pPr>
    <w:rPr>
      <w:rFonts w:ascii="宋体" w:hAnsi="宋体" w:cs="宋体"/>
      <w:kern w:val="0"/>
      <w:sz w:val="24"/>
    </w:rPr>
  </w:style>
  <w:style w:type="character" w:customStyle="1" w:styleId="31">
    <w:name w:val="NormalCharacter"/>
    <w:semiHidden/>
    <w:qFormat/>
    <w:uiPriority w:val="0"/>
    <w:rPr>
      <w:rFonts w:ascii="Calibri" w:hAnsi="Calibri" w:eastAsia="宋体" w:cs="Times New Roman"/>
      <w:kern w:val="2"/>
      <w:sz w:val="21"/>
      <w:szCs w:val="22"/>
      <w:lang w:val="en-US" w:eastAsia="zh-CN" w:bidi="ar-SA"/>
    </w:rPr>
  </w:style>
  <w:style w:type="paragraph" w:customStyle="1" w:styleId="32">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PingFang SC Regular"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asd.ltd.co</Company>
  <Pages>10</Pages>
  <Words>4121</Words>
  <Characters>4307</Characters>
  <Lines>12</Lines>
  <Paragraphs>3</Paragraphs>
  <TotalTime>44</TotalTime>
  <ScaleCrop>false</ScaleCrop>
  <LinksUpToDate>false</LinksUpToDate>
  <CharactersWithSpaces>4402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2005-04-20T01:40:00Z</dcterms:created>
  <dc:creator>tzz</dc:creator>
  <cp:lastModifiedBy>Chéng*JY</cp:lastModifiedBy>
  <cp:lastPrinted>2023-10-09T11:10:00Z</cp:lastPrinted>
  <dcterms:modified xsi:type="dcterms:W3CDTF">2024-12-27T06:17:01Z</dcterms:modified>
  <dc:title>关于认真做好当前经济工作的通知</dc:title>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5DC7FFA38101440CB56F6AA0E74457FF</vt:lpwstr>
  </property>
</Properties>
</file>