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北京市东城区关于促进法律服务业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baseline"/>
        <w:rPr>
          <w:rFonts w:hint="eastAsia" w:ascii="仿宋_GB2312" w:eastAsia="仿宋_GB2312" w:cs="仿宋_GB2312"/>
          <w:b w:val="0"/>
          <w:bCs w:val="0"/>
          <w:i w:val="0"/>
          <w:iCs w:val="0"/>
          <w:caps w:val="0"/>
          <w:color w:val="000000"/>
          <w:spacing w:val="0"/>
          <w:sz w:val="32"/>
          <w:szCs w:val="32"/>
          <w:shd w:val="clear" w:fill="FFFFFF"/>
          <w:vertAlign w:val="baseline"/>
          <w:lang w:eastAsia="zh-CN"/>
        </w:rPr>
      </w:pPr>
      <w:r>
        <w:rPr>
          <w:rFonts w:hint="eastAsia" w:ascii="方正小标宋简体" w:hAnsi="方正小标宋简体" w:eastAsia="方正小标宋简体" w:cs="方正小标宋简体"/>
          <w:sz w:val="44"/>
          <w:szCs w:val="44"/>
          <w:lang w:val="en-US" w:eastAsia="zh-CN"/>
        </w:rPr>
        <w:t>高质量发展若干措施</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eastAsia="仿宋_GB2312" w:cs="仿宋_GB2312"/>
          <w:b w:val="0"/>
          <w:bCs w:val="0"/>
          <w:i w:val="0"/>
          <w:iCs w:val="0"/>
          <w:caps w:val="0"/>
          <w:color w:val="000000"/>
          <w:spacing w:val="0"/>
          <w:sz w:val="32"/>
          <w:szCs w:val="32"/>
          <w:shd w:val="clear" w:fill="FFFFFF"/>
          <w:vertAlign w:val="baseline"/>
          <w:lang w:eastAsia="zh-CN"/>
        </w:rPr>
      </w:pPr>
      <w:r>
        <w:rPr>
          <w:rFonts w:hint="eastAsia" w:ascii="仿宋_GB2312" w:eastAsia="仿宋_GB2312" w:cs="仿宋_GB2312"/>
          <w:b w:val="0"/>
          <w:bCs w:val="0"/>
          <w:i w:val="0"/>
          <w:iCs w:val="0"/>
          <w:caps w:val="0"/>
          <w:color w:val="000000"/>
          <w:spacing w:val="0"/>
          <w:sz w:val="32"/>
          <w:szCs w:val="32"/>
          <w:shd w:val="clear" w:fill="FFFFFF"/>
          <w:vertAlign w:val="baseline"/>
          <w:lang w:eastAsia="zh-CN"/>
        </w:rPr>
        <w:t>（</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征求意见稿</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cs="仿宋_GB2312"/>
          <w:b/>
          <w:bCs/>
          <w:i w:val="0"/>
          <w:iCs w:val="0"/>
          <w:caps w:val="0"/>
          <w:color w:val="000000"/>
          <w:spacing w:val="0"/>
          <w:sz w:val="32"/>
          <w:szCs w:val="32"/>
          <w:shd w:val="clear" w:fill="FFFFFF"/>
          <w:vertAlign w:val="baseline"/>
        </w:rPr>
      </w:pPr>
      <w:r>
        <w:rPr>
          <w:rFonts w:hint="eastAsia" w:ascii="仿宋_GB2312" w:eastAsia="仿宋_GB2312" w:cs="仿宋_GB2312"/>
          <w:b w:val="0"/>
          <w:bCs w:val="0"/>
          <w:i w:val="0"/>
          <w:iCs w:val="0"/>
          <w:caps w:val="0"/>
          <w:color w:val="000000"/>
          <w:spacing w:val="0"/>
          <w:sz w:val="32"/>
          <w:szCs w:val="32"/>
          <w:shd w:val="clear" w:fill="FFFFFF"/>
          <w:vertAlign w:val="baseline"/>
          <w:lang w:eastAsia="zh-CN"/>
        </w:rPr>
        <w:t>为</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深入</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贯彻</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市委《北京市全面依法治市规划（2021-2025年）》、市政府《北京市法治政府建设实施意见（2021-2025）》</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《关于完善仲裁制度提高仲裁公信力</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 xml:space="preserve"> </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建设国际仲裁中心的实施意见》，</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落实《国际商事仲裁中心（北京）建设实施方案》《北京市关于改革优化法律服务业发展环境若干措施》等文件的具体要求，</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根据《东城区促进产业高质量发展若干措施》</w:t>
      </w:r>
      <w:r>
        <w:rPr>
          <w:rFonts w:hint="eastAsia" w:ascii="仿宋_GB2312" w:eastAsia="仿宋_GB2312" w:cs="仿宋_GB2312"/>
          <w:b w:val="0"/>
          <w:bCs w:val="0"/>
          <w:i w:val="0"/>
          <w:iCs w:val="0"/>
          <w:caps w:val="0"/>
          <w:color w:val="000000"/>
          <w:spacing w:val="0"/>
          <w:sz w:val="32"/>
          <w:szCs w:val="32"/>
          <w:shd w:val="clear" w:fill="FFFFFF"/>
          <w:vertAlign w:val="baseline"/>
          <w:lang w:eastAsia="zh-CN"/>
        </w:rPr>
        <w:t>，</w:t>
      </w:r>
      <w:r>
        <w:rPr>
          <w:rFonts w:hint="eastAsia" w:ascii="仿宋_GB2312" w:eastAsia="仿宋_GB2312" w:cs="仿宋_GB2312"/>
          <w:b w:val="0"/>
          <w:bCs w:val="0"/>
          <w:i w:val="0"/>
          <w:iCs w:val="0"/>
          <w:caps w:val="0"/>
          <w:color w:val="000000"/>
          <w:spacing w:val="0"/>
          <w:sz w:val="32"/>
          <w:szCs w:val="32"/>
          <w:shd w:val="clear" w:fill="FFFFFF"/>
          <w:vertAlign w:val="baseline"/>
          <w:lang w:val="en-US" w:eastAsia="zh-CN"/>
        </w:rPr>
        <w:t>现制定《北京市东城区促进法律服务业高质量发展若干措施》如下：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baseline"/>
        <w:rPr>
          <w:rFonts w:hint="eastAsia" w:ascii="黑体" w:hAnsi="黑体" w:eastAsia="黑体" w:cs="黑体"/>
          <w:b w:val="0"/>
          <w:bCs w:val="0"/>
          <w:i w:val="0"/>
          <w:iCs w:val="0"/>
          <w:caps w:val="0"/>
          <w:color w:val="000000"/>
          <w:spacing w:val="0"/>
          <w:sz w:val="32"/>
          <w:szCs w:val="32"/>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shd w:val="clear" w:fill="FFFFFF"/>
          <w:vertAlign w:val="baseline"/>
          <w:lang w:val="en-US" w:eastAsia="zh-CN"/>
        </w:rPr>
        <w:t xml:space="preserve">    一、总则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shd w:val="clear" w:fill="FFFFFF"/>
          <w:vertAlign w:val="baseline"/>
          <w:lang w:val="en-US" w:eastAsia="zh-CN"/>
        </w:rPr>
        <w:t>第一条</w:t>
      </w: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 xml:space="preserve"> 以习近平新时代中国特色社会主义思想和习近平法治思想为指导，全面贯彻落实党的二十大、二十届二中和三中全会精神，围绕国际商事仲裁中心（北京）“1+N”战略布局，立足东城区作为政治中心、文化中心和国际交往中心核心承载区的实际，促进专业法律服务机构高质量发展，吸引高层次法律服务人才集聚，培育以高水平、全流程、多层次商事争议解决服务为核心的法律服务行业融合发展生态圈，提升东城区高端法律服务业的专业能力，助推首都经济社会高质量发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第二条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本措施适用于在东城区注册经营或实际运营的律师事务所及分所，外国及港澳台律师事务所代表机构，公证、仲裁、商事调解及其他专业法律服务机构或行业组织（以下简称“法律服务机构”）。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二、推动产业梯度发展项目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第三条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发挥行业头部机构引领作用。</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头部法律服务机构匹配东城区产业发展方向，通过引进团队、开拓市场等方式，优化发展规模、提升业务收入、强化品牌建设。鼓励法律服务机构承办、参与或服务北京文化论坛等具有全国影响力的峰会、论坛、展会等活动。支持法律服务机构发布行业观察报告，或参与制定具有行业或地区影响力的国际标准、国家标准和行业标准，并得到相关部门认可。经评定为头部综合性法律服务机构的，给予不超过200万元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第四条 助推专精法律服务机构发展。</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鼓励专精法律服务机构围绕东城区重点产业需求，实现法律服务特色化与差异化发展。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重点向文娱、文体、文创、文物等文化领域聚集，助力建设文化产业仲裁与调解一站式法律服务高地。支持法律服务机构深度运用大数据、区块链、人工智能等数智技术，实现全流程降本增效。助力涉外法治建设，积极参与国际组织交流、国际会展活动，提供风险评估、跨境并购、国际投资、知识产权保护、服务保障东城区企业“组团出海”等涉外法律服务。经评定为专精法律服务机构的，给予</w:t>
      </w:r>
      <w:r>
        <w:rPr>
          <w:rFonts w:hint="eastAsia" w:ascii="仿宋_GB2312" w:hAnsi="仿宋_GB2312" w:eastAsia="仿宋_GB2312" w:cs="仿宋_GB2312"/>
          <w:b w:val="0"/>
          <w:bCs w:val="0"/>
          <w:i w:val="0"/>
          <w:iCs w:val="0"/>
          <w:caps w:val="0"/>
          <w:color w:val="auto"/>
          <w:spacing w:val="0"/>
          <w:sz w:val="32"/>
          <w:szCs w:val="32"/>
          <w:highlight w:val="none"/>
          <w:shd w:val="clear" w:fill="FFFFFF"/>
          <w:vertAlign w:val="baseline"/>
          <w:lang w:val="en-US" w:eastAsia="zh-CN"/>
        </w:rPr>
        <w:t>不超过100万元奖</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楷体_GB2312" w:hAnsi="楷体_GB2312" w:eastAsia="楷体_GB2312" w:cs="楷体_GB2312"/>
          <w:b w:val="0"/>
          <w:bCs w:val="0"/>
          <w:i w:val="0"/>
          <w:iCs w:val="0"/>
          <w:caps w:val="0"/>
          <w:color w:val="FF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三、优化产业生态辐射项目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第五条 激发法律服务行业集聚效应。</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并支持行业协会、仲裁与调解机构等，发挥专业优势，促进要素集聚、行业协同、营商环境优化，集聚律师、会计、公证、合规、调解、仲裁等资源，打造高端商事法律服务特色楼宇，取得成效的，经认定，给予</w:t>
      </w:r>
      <w:r>
        <w:rPr>
          <w:rFonts w:hint="eastAsia" w:ascii="仿宋_GB2312" w:hAnsi="仿宋_GB2312" w:eastAsia="仿宋_GB2312" w:cs="仿宋_GB2312"/>
          <w:b w:val="0"/>
          <w:bCs w:val="0"/>
          <w:i w:val="0"/>
          <w:iCs w:val="0"/>
          <w:caps w:val="0"/>
          <w:color w:val="auto"/>
          <w:spacing w:val="0"/>
          <w:sz w:val="32"/>
          <w:szCs w:val="32"/>
          <w:highlight w:val="none"/>
          <w:shd w:val="clear" w:fill="FFFFFF"/>
          <w:vertAlign w:val="baseline"/>
          <w:lang w:val="en-US" w:eastAsia="zh-CN"/>
        </w:rPr>
        <w:t>不超过50万元</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default"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四、集聚培育优秀人才项目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第六条 引进和培育优秀法律服务人才。</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支持法律服务机构引进具有高级技术职称、复合知识背景的高层次法律服务人才，具有国际执业经验的涉外法治人才，培育优秀青年法律服务人才，根据</w:t>
      </w:r>
      <w:r>
        <w:rPr>
          <w:rFonts w:hint="eastAsia" w:ascii="仿宋_GB2312" w:hAnsi="仿宋_GB2312" w:eastAsia="仿宋_GB2312" w:cs="仿宋_GB2312"/>
          <w:b w:val="0"/>
          <w:bCs w:val="0"/>
          <w:i w:val="0"/>
          <w:iCs w:val="0"/>
          <w:caps w:val="0"/>
          <w:color w:val="auto"/>
          <w:spacing w:val="0"/>
          <w:sz w:val="32"/>
          <w:szCs w:val="32"/>
          <w:highlight w:val="none"/>
          <w:shd w:val="clear" w:fill="FFFFFF"/>
          <w:vertAlign w:val="baseline"/>
          <w:lang w:val="en-US" w:eastAsia="zh-CN"/>
        </w:rPr>
        <w:t>东城区特殊人才引进政策等规定，</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多方面予以支持保障。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pPr>
      <w:r>
        <w:rPr>
          <w:rFonts w:hint="eastAsia" w:ascii="黑体" w:hAnsi="黑体" w:eastAsia="黑体" w:cs="黑体"/>
          <w:b w:val="0"/>
          <w:bCs w:val="0"/>
          <w:i w:val="0"/>
          <w:iCs w:val="0"/>
          <w:caps w:val="0"/>
          <w:color w:val="000000"/>
          <w:spacing w:val="0"/>
          <w:sz w:val="32"/>
          <w:szCs w:val="32"/>
          <w:highlight w:val="none"/>
          <w:shd w:val="clear" w:fill="FFFFFF"/>
          <w:vertAlign w:val="baseline"/>
          <w:lang w:val="en-US" w:eastAsia="zh-CN"/>
        </w:rPr>
        <w:t>五、附则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 xml:space="preserve">第七条 </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项目申请单位对申报材料的真实性、完整性、有效性和合法性负责。在申报、执行相关项目过程中存在弄虚作假、违反规定、不履行承诺等情形的，一经核实，追回相应资金，并承担法律责任。</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textAlignment w:val="baseline"/>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第八条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政策实施期间，根据行业发展重大变化或上级政策调整，由牵头部门提议，经东城区政府相关决议程序后予以修订。本政策由区司法局负责解释。</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0"/>
        <w:textAlignment w:val="baseline"/>
        <w:rPr>
          <w:rFonts w:hint="eastAsia"/>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第九条</w:t>
      </w:r>
      <w:r>
        <w:rPr>
          <w:rFonts w:hint="eastAsia" w:ascii="Times New Roman" w:hAnsi="Times New Roman" w:eastAsia="仿宋_GB2312" w:cs="Times New Roman"/>
          <w:color w:val="auto"/>
          <w:kern w:val="0"/>
          <w:sz w:val="32"/>
          <w:szCs w:val="32"/>
          <w:highlight w:val="none"/>
          <w:lang w:val="en-US" w:eastAsia="zh-CN" w:bidi="ar-SA"/>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东城区促进产业高质量发展若干措施》第九条的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第十条</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本措施自发布之日起实施，试行3年</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相关细则与申报指南由区司法局会同相关职能部门另行制定。</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baseline"/>
        <w:rPr>
          <w:rFonts w:hint="eastAsia" w:ascii="仿宋_GB2312" w:hAnsi="宋体" w:eastAsia="仿宋_GB2312" w:cs="仿宋_GB2312"/>
          <w:b w:val="0"/>
          <w:bCs w:val="0"/>
          <w:i w:val="0"/>
          <w:iCs w:val="0"/>
          <w:caps w:val="0"/>
          <w:color w:val="000000"/>
          <w:spacing w:val="0"/>
          <w:kern w:val="0"/>
          <w:sz w:val="32"/>
          <w:szCs w:val="32"/>
          <w:shd w:val="clear" w:fill="FFFFFF"/>
          <w:vertAlign w:val="baseline"/>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WQyM2EzNDM2ZDA3NGM4YWE2ZTM1MzhjNDA5YjUifQ=="/>
  </w:docVars>
  <w:rsids>
    <w:rsidRoot w:val="00000000"/>
    <w:rsid w:val="01052E81"/>
    <w:rsid w:val="02A408C8"/>
    <w:rsid w:val="03BA11F3"/>
    <w:rsid w:val="072C359D"/>
    <w:rsid w:val="07E8002F"/>
    <w:rsid w:val="096107F7"/>
    <w:rsid w:val="09C53CE5"/>
    <w:rsid w:val="0D2B759C"/>
    <w:rsid w:val="0ED96256"/>
    <w:rsid w:val="0F5D2EBA"/>
    <w:rsid w:val="11812847"/>
    <w:rsid w:val="119C3F19"/>
    <w:rsid w:val="12D6271E"/>
    <w:rsid w:val="18E30925"/>
    <w:rsid w:val="197C1892"/>
    <w:rsid w:val="21A800AD"/>
    <w:rsid w:val="22385BDF"/>
    <w:rsid w:val="24AA02C2"/>
    <w:rsid w:val="269B4BF8"/>
    <w:rsid w:val="273170AC"/>
    <w:rsid w:val="28424EE4"/>
    <w:rsid w:val="28E16DF2"/>
    <w:rsid w:val="2AA979D2"/>
    <w:rsid w:val="2AE01EFD"/>
    <w:rsid w:val="2D047A30"/>
    <w:rsid w:val="2EBA382A"/>
    <w:rsid w:val="2ED54DE9"/>
    <w:rsid w:val="334E1ED0"/>
    <w:rsid w:val="34C06617"/>
    <w:rsid w:val="35F20874"/>
    <w:rsid w:val="361343A7"/>
    <w:rsid w:val="36DA4CE0"/>
    <w:rsid w:val="3B952E78"/>
    <w:rsid w:val="3FBC3A2F"/>
    <w:rsid w:val="42855C2E"/>
    <w:rsid w:val="45C0625D"/>
    <w:rsid w:val="4673671D"/>
    <w:rsid w:val="47327FA8"/>
    <w:rsid w:val="484556DA"/>
    <w:rsid w:val="4C4F1C92"/>
    <w:rsid w:val="4F8D3D28"/>
    <w:rsid w:val="4FD706F2"/>
    <w:rsid w:val="50A36C1C"/>
    <w:rsid w:val="5650533D"/>
    <w:rsid w:val="5C4E4408"/>
    <w:rsid w:val="5CBE5C56"/>
    <w:rsid w:val="5D2C0F26"/>
    <w:rsid w:val="5E635C64"/>
    <w:rsid w:val="5F296EC0"/>
    <w:rsid w:val="62B11646"/>
    <w:rsid w:val="631C0243"/>
    <w:rsid w:val="63546B89"/>
    <w:rsid w:val="666015BC"/>
    <w:rsid w:val="66BB0D4F"/>
    <w:rsid w:val="68DE2C28"/>
    <w:rsid w:val="6A677F0D"/>
    <w:rsid w:val="6ACC52BF"/>
    <w:rsid w:val="6CF77898"/>
    <w:rsid w:val="6D882E06"/>
    <w:rsid w:val="6ECF163D"/>
    <w:rsid w:val="709B2323"/>
    <w:rsid w:val="70A3170E"/>
    <w:rsid w:val="74B11CB4"/>
    <w:rsid w:val="769720AB"/>
    <w:rsid w:val="76D878E9"/>
    <w:rsid w:val="76F57C58"/>
    <w:rsid w:val="78816541"/>
    <w:rsid w:val="790207A4"/>
    <w:rsid w:val="7BA3430D"/>
    <w:rsid w:val="7C595752"/>
    <w:rsid w:val="7EFD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2336</Words>
  <Characters>2371</Characters>
  <Lines>0</Lines>
  <Paragraphs>0</Paragraphs>
  <TotalTime>3</TotalTime>
  <ScaleCrop>false</ScaleCrop>
  <LinksUpToDate>false</LinksUpToDate>
  <CharactersWithSpaces>2404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2025-01-03T09:00:05Z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5A02A1EEAEA74F00AC38290A7534A4BB_12</vt:lpwstr>
  </property>
</Properties>
</file>