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北京市东城区关于推动金融高质量发展</w:t>
      </w: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若干措施（征求意见稿）</w:t>
      </w:r>
      <w:r>
        <w:rPr>
          <w:rFonts w:hint="default" w:ascii="Times New Roman" w:hAnsi="Times New Roman" w:eastAsia="方正小标宋简体" w:cs="Times New Roman"/>
          <w:sz w:val="44"/>
          <w:szCs w:val="44"/>
          <w:lang w:eastAsia="zh-CN"/>
        </w:rPr>
        <w:t>》的起草</w:t>
      </w:r>
      <w:r>
        <w:rPr>
          <w:rFonts w:hint="default" w:ascii="Times New Roman" w:hAnsi="Times New Roman" w:eastAsia="方正小标宋简体" w:cs="Times New Roman"/>
          <w:sz w:val="44"/>
          <w:szCs w:val="44"/>
        </w:rPr>
        <w:t>说明</w:t>
      </w:r>
    </w:p>
    <w:p>
      <w:pPr>
        <w:widowControl/>
        <w:wordWrap/>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pStyle w:val="2"/>
        <w:widowControl w:val="0"/>
        <w:numPr>
          <w:ilvl w:val="0"/>
          <w:numId w:val="0"/>
        </w:numPr>
        <w:wordWrap/>
        <w:adjustRightInd/>
        <w:snapToGrid/>
        <w:spacing w:after="0"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一、制定背景</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为深入贯彻党的二十大和二十届二中、三中全会以及中央经济工作会议、中央金融工作会议精神，全面落实习近平总书记关于金融工作的重要指示和视察北京重要讲话精神，推动区域金融高质量发展，</w:t>
      </w:r>
      <w:r>
        <w:rPr>
          <w:rFonts w:hint="eastAsia" w:eastAsia="仿宋_GB2312"/>
          <w:sz w:val="32"/>
          <w:szCs w:val="32"/>
          <w:lang w:eastAsia="zh-CN"/>
        </w:rPr>
        <w:t>东城区发展和改革委员会研究起草了《北京市东城区关于推动金融高质量发展的若干措施（征求意见稿）》</w:t>
      </w:r>
      <w:r>
        <w:rPr>
          <w:rFonts w:hint="eastAsia" w:ascii="Times New Roman" w:hAnsi="Times New Roman" w:eastAsia="仿宋_GB2312" w:cs="Times New Roman"/>
          <w:sz w:val="32"/>
          <w:szCs w:val="32"/>
          <w:lang w:val="en-US" w:eastAsia="zh-CN"/>
        </w:rPr>
        <w:t>（以下简称《措施》）。</w:t>
      </w:r>
    </w:p>
    <w:p>
      <w:pPr>
        <w:pStyle w:val="2"/>
        <w:widowControl w:val="0"/>
        <w:numPr>
          <w:ilvl w:val="0"/>
          <w:numId w:val="1"/>
        </w:numPr>
        <w:wordWrap/>
        <w:adjustRightInd/>
        <w:snapToGrid/>
        <w:spacing w:after="0"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制定依据</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w:t>
      </w:r>
      <w:r>
        <w:rPr>
          <w:rFonts w:hint="eastAsia" w:ascii="Times New Roman" w:hAnsi="Times New Roman" w:eastAsia="仿宋_GB2312" w:cs="Times New Roman"/>
          <w:color w:val="auto"/>
          <w:sz w:val="32"/>
          <w:szCs w:val="32"/>
          <w:lang w:eastAsia="zh-CN"/>
        </w:rPr>
        <w:t>中央经济工作会议、中央金融工作会议精神，以及《关于加快培育发展首都现代金融服务业的若干意见》（京金融〔2018〕110号）</w:t>
      </w:r>
      <w:r>
        <w:rPr>
          <w:rFonts w:hint="default" w:ascii="Times New Roman" w:hAnsi="Times New Roman" w:eastAsia="仿宋_GB2312" w:cs="Times New Roman"/>
          <w:color w:val="auto"/>
          <w:sz w:val="32"/>
          <w:szCs w:val="32"/>
          <w:lang w:val="en-US" w:eastAsia="zh-CN"/>
        </w:rPr>
        <w:t>等上级文件，</w:t>
      </w:r>
      <w:r>
        <w:rPr>
          <w:rFonts w:hint="eastAsia" w:ascii="Times New Roman" w:hAnsi="Times New Roman" w:eastAsia="仿宋_GB2312" w:cs="Times New Roman"/>
          <w:color w:val="auto"/>
          <w:sz w:val="32"/>
          <w:szCs w:val="32"/>
          <w:lang w:val="en-US" w:eastAsia="zh-CN"/>
        </w:rPr>
        <w:t>结合东城区实际</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制定此《措施》</w:t>
      </w:r>
      <w:r>
        <w:rPr>
          <w:rFonts w:hint="default" w:ascii="Times New Roman" w:hAnsi="Times New Roman" w:eastAsia="仿宋_GB2312" w:cs="Times New Roman"/>
          <w:color w:val="auto"/>
          <w:sz w:val="32"/>
          <w:szCs w:val="32"/>
          <w:lang w:val="en-US" w:eastAsia="zh-CN"/>
        </w:rPr>
        <w:t>。</w:t>
      </w:r>
    </w:p>
    <w:p>
      <w:pPr>
        <w:widowControl w:val="0"/>
        <w:wordWrap/>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本</w:t>
      </w:r>
      <w:r>
        <w:rPr>
          <w:rFonts w:hint="default" w:ascii="Times New Roman" w:hAnsi="Times New Roman" w:eastAsia="仿宋_GB2312" w:cs="Times New Roman"/>
          <w:b w:val="0"/>
          <w:bCs w:val="0"/>
          <w:color w:val="auto"/>
          <w:sz w:val="32"/>
          <w:szCs w:val="32"/>
          <w:lang w:val="en-US" w:eastAsia="zh-CN"/>
        </w:rPr>
        <w:t>《措施》共</w:t>
      </w:r>
      <w:r>
        <w:rPr>
          <w:rFonts w:hint="eastAsia" w:ascii="Times New Roman" w:hAnsi="Times New Roman" w:eastAsia="仿宋_GB2312" w:cs="Times New Roman"/>
          <w:b w:val="0"/>
          <w:bCs w:val="0"/>
          <w:color w:val="auto"/>
          <w:sz w:val="32"/>
          <w:szCs w:val="32"/>
          <w:lang w:val="en-US" w:eastAsia="zh-CN"/>
        </w:rPr>
        <w:t>十七</w:t>
      </w:r>
      <w:r>
        <w:rPr>
          <w:rFonts w:hint="default" w:ascii="Times New Roman" w:hAnsi="Times New Roman" w:eastAsia="仿宋_GB2312"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主要考虑如下：</w:t>
      </w:r>
      <w:r>
        <w:rPr>
          <w:rFonts w:hint="eastAsia"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一是</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对经国家金融管理部门批准设立的持牌法人金融机构</w:t>
      </w:r>
      <w:r>
        <w:rPr>
          <w:rFonts w:hint="eastAsia"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注册、增资、并购重组等予以支持。二是对</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金融机构提档升级</w:t>
      </w:r>
      <w:r>
        <w:rPr>
          <w:rFonts w:hint="eastAsia"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予以支持。三是</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对股权投资机构</w:t>
      </w:r>
      <w:r>
        <w:rPr>
          <w:rFonts w:hint="eastAsia"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服务实体</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产业</w:t>
      </w:r>
      <w:r>
        <w:rPr>
          <w:rFonts w:hint="eastAsia"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发展予以支持。四是</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鼓励金融机构</w:t>
      </w:r>
      <w:r>
        <w:rPr>
          <w:rFonts w:hint="eastAsia"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持续</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提升行业影响力</w:t>
      </w:r>
      <w:r>
        <w:rPr>
          <w:rFonts w:hint="eastAsia"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vertAlign w:val="baseline"/>
          <w:lang w:val="en-US" w:eastAsia="zh-CN"/>
        </w:rPr>
        <w:t xml:space="preserve">推动金融业高质量发展。 </w:t>
      </w:r>
      <w:bookmarkStart w:id="0" w:name="_GoBack"/>
      <w:bookmarkEnd w:id="0"/>
    </w:p>
    <w:p>
      <w:pPr>
        <w:wordWrap/>
        <w:adjustRightInd/>
        <w:snapToGrid/>
        <w:spacing w:line="560" w:lineRule="exact"/>
        <w:jc w:val="center"/>
        <w:textAlignment w:val="auto"/>
        <w:rPr>
          <w:rFonts w:hint="eastAsia" w:ascii="Times New Roman" w:hAnsi="Times New Roman" w:eastAsia="仿宋_GB2312" w:cs="Times New Roman"/>
          <w:color w:val="000000"/>
          <w:sz w:val="32"/>
          <w:szCs w:val="32"/>
          <w:shd w:val="clear" w:color="080000" w:fill="FFFFFF"/>
          <w:lang w:eastAsia="zh-CN"/>
        </w:rPr>
      </w:pPr>
      <w:r>
        <w:rPr>
          <w:rFonts w:hint="eastAsia" w:ascii="Times New Roman" w:hAnsi="Times New Roman" w:eastAsia="仿宋_GB2312" w:cs="Times New Roman"/>
          <w:color w:val="000000"/>
          <w:sz w:val="32"/>
          <w:szCs w:val="32"/>
          <w:shd w:val="clear" w:color="080000" w:fill="FFFFFF"/>
          <w:lang w:val="en-US" w:eastAsia="zh-CN"/>
        </w:rPr>
        <w:t xml:space="preserve">                     </w:t>
      </w:r>
      <w:r>
        <w:rPr>
          <w:rFonts w:hint="default" w:ascii="Times New Roman" w:hAnsi="Times New Roman" w:eastAsia="仿宋_GB2312" w:cs="Times New Roman"/>
          <w:color w:val="000000"/>
          <w:sz w:val="32"/>
          <w:szCs w:val="32"/>
          <w:shd w:val="clear" w:color="080000" w:fill="FFFFFF"/>
        </w:rPr>
        <w:t>东城区</w:t>
      </w:r>
      <w:r>
        <w:rPr>
          <w:rFonts w:hint="eastAsia" w:ascii="Times New Roman" w:hAnsi="Times New Roman" w:eastAsia="仿宋_GB2312" w:cs="Times New Roman"/>
          <w:color w:val="000000"/>
          <w:sz w:val="32"/>
          <w:szCs w:val="32"/>
          <w:shd w:val="clear" w:color="080000" w:fill="FFFFFF"/>
          <w:lang w:eastAsia="zh-CN"/>
        </w:rPr>
        <w:t>发展和改革委员会</w:t>
      </w:r>
    </w:p>
    <w:p>
      <w:pPr>
        <w:wordWrap/>
        <w:adjustRightInd/>
        <w:snapToGrid/>
        <w:spacing w:line="560" w:lineRule="exact"/>
        <w:jc w:val="center"/>
        <w:textAlignment w:val="auto"/>
        <w:rPr>
          <w:rFonts w:hint="default" w:ascii="Times New Roman" w:hAnsi="Times New Roman" w:eastAsia="仿宋_GB2312" w:cs="Times New Roman"/>
          <w:color w:val="000000"/>
          <w:sz w:val="32"/>
          <w:szCs w:val="32"/>
          <w:shd w:val="clear" w:color="080000" w:fill="FFFFFF"/>
        </w:rPr>
      </w:pPr>
      <w:r>
        <w:rPr>
          <w:rFonts w:hint="eastAsia" w:ascii="Times New Roman" w:hAnsi="Times New Roman" w:eastAsia="仿宋_GB2312" w:cs="Times New Roman"/>
          <w:color w:val="000000"/>
          <w:sz w:val="32"/>
          <w:szCs w:val="32"/>
          <w:shd w:val="clear" w:color="080000" w:fill="FFFFFF"/>
          <w:lang w:val="en-US" w:eastAsia="zh-CN"/>
        </w:rPr>
        <w:t xml:space="preserve">                       </w:t>
      </w:r>
      <w:r>
        <w:rPr>
          <w:rFonts w:hint="default" w:ascii="Times New Roman" w:hAnsi="Times New Roman" w:eastAsia="仿宋_GB2312" w:cs="Times New Roman"/>
          <w:color w:val="000000"/>
          <w:sz w:val="32"/>
          <w:szCs w:val="32"/>
          <w:shd w:val="clear" w:color="080000" w:fill="FFFFFF"/>
        </w:rPr>
        <w:t>202</w:t>
      </w:r>
      <w:r>
        <w:rPr>
          <w:rFonts w:hint="eastAsia" w:ascii="Times New Roman" w:hAnsi="Times New Roman" w:eastAsia="仿宋_GB2312" w:cs="Times New Roman"/>
          <w:color w:val="000000"/>
          <w:sz w:val="32"/>
          <w:szCs w:val="32"/>
          <w:shd w:val="clear" w:color="080000" w:fill="FFFFFF"/>
          <w:lang w:val="en-US" w:eastAsia="zh-CN"/>
        </w:rPr>
        <w:t>5</w:t>
      </w:r>
      <w:r>
        <w:rPr>
          <w:rFonts w:hint="default" w:ascii="Times New Roman" w:hAnsi="Times New Roman" w:eastAsia="仿宋_GB2312" w:cs="Times New Roman"/>
          <w:color w:val="000000"/>
          <w:sz w:val="32"/>
          <w:szCs w:val="32"/>
          <w:shd w:val="clear" w:color="080000" w:fill="FFFFFF"/>
        </w:rPr>
        <w:t>年</w:t>
      </w:r>
      <w:r>
        <w:rPr>
          <w:rFonts w:hint="eastAsia" w:ascii="Times New Roman" w:hAnsi="Times New Roman" w:eastAsia="仿宋_GB2312" w:cs="Times New Roman"/>
          <w:color w:val="000000"/>
          <w:sz w:val="32"/>
          <w:szCs w:val="32"/>
          <w:shd w:val="clear" w:color="080000" w:fill="FFFFFF"/>
          <w:lang w:val="en-US" w:eastAsia="zh-CN"/>
        </w:rPr>
        <w:t>1</w:t>
      </w:r>
      <w:r>
        <w:rPr>
          <w:rFonts w:hint="default" w:ascii="Times New Roman" w:hAnsi="Times New Roman" w:eastAsia="仿宋_GB2312" w:cs="Times New Roman"/>
          <w:color w:val="000000"/>
          <w:sz w:val="32"/>
          <w:szCs w:val="32"/>
          <w:shd w:val="clear" w:color="080000" w:fill="FFFFFF"/>
        </w:rPr>
        <w:t>月</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EDB5C"/>
    <w:multiLevelType w:val="singleLevel"/>
    <w:tmpl w:val="646EDB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0408C"/>
    <w:rsid w:val="00005BE1"/>
    <w:rsid w:val="000A3325"/>
    <w:rsid w:val="000E549E"/>
    <w:rsid w:val="00147763"/>
    <w:rsid w:val="00176C9A"/>
    <w:rsid w:val="00181689"/>
    <w:rsid w:val="001F18D5"/>
    <w:rsid w:val="00214CA2"/>
    <w:rsid w:val="0023510B"/>
    <w:rsid w:val="0025632F"/>
    <w:rsid w:val="00296E52"/>
    <w:rsid w:val="002F65E1"/>
    <w:rsid w:val="0034229D"/>
    <w:rsid w:val="003519E5"/>
    <w:rsid w:val="00376DD1"/>
    <w:rsid w:val="003C648F"/>
    <w:rsid w:val="0040287B"/>
    <w:rsid w:val="00434BDE"/>
    <w:rsid w:val="00505A11"/>
    <w:rsid w:val="00527A49"/>
    <w:rsid w:val="00544E08"/>
    <w:rsid w:val="00572115"/>
    <w:rsid w:val="005932ED"/>
    <w:rsid w:val="00594C5C"/>
    <w:rsid w:val="005C59AE"/>
    <w:rsid w:val="005D4C84"/>
    <w:rsid w:val="005F2777"/>
    <w:rsid w:val="005F361B"/>
    <w:rsid w:val="00621E8D"/>
    <w:rsid w:val="0062365A"/>
    <w:rsid w:val="006303DA"/>
    <w:rsid w:val="0063478D"/>
    <w:rsid w:val="006415EF"/>
    <w:rsid w:val="006B34AF"/>
    <w:rsid w:val="006C2F7C"/>
    <w:rsid w:val="006C6C0D"/>
    <w:rsid w:val="006F0CDA"/>
    <w:rsid w:val="007123BF"/>
    <w:rsid w:val="00720C12"/>
    <w:rsid w:val="0072568F"/>
    <w:rsid w:val="00766DDC"/>
    <w:rsid w:val="00777CEE"/>
    <w:rsid w:val="0078101A"/>
    <w:rsid w:val="00786D0B"/>
    <w:rsid w:val="00793024"/>
    <w:rsid w:val="007E08AA"/>
    <w:rsid w:val="007F0048"/>
    <w:rsid w:val="00802105"/>
    <w:rsid w:val="00802250"/>
    <w:rsid w:val="008B1CD5"/>
    <w:rsid w:val="0095585F"/>
    <w:rsid w:val="009A3EC9"/>
    <w:rsid w:val="009B2F0E"/>
    <w:rsid w:val="009E3BB3"/>
    <w:rsid w:val="00A10E1E"/>
    <w:rsid w:val="00A110D4"/>
    <w:rsid w:val="00A506CB"/>
    <w:rsid w:val="00A51924"/>
    <w:rsid w:val="00A87C55"/>
    <w:rsid w:val="00A90661"/>
    <w:rsid w:val="00AC3778"/>
    <w:rsid w:val="00AF19DF"/>
    <w:rsid w:val="00B241ED"/>
    <w:rsid w:val="00B40444"/>
    <w:rsid w:val="00B41BD5"/>
    <w:rsid w:val="00BB5008"/>
    <w:rsid w:val="00BD69EC"/>
    <w:rsid w:val="00CD1D60"/>
    <w:rsid w:val="00CE3377"/>
    <w:rsid w:val="00D0408C"/>
    <w:rsid w:val="00D82687"/>
    <w:rsid w:val="00D875EE"/>
    <w:rsid w:val="00DD104B"/>
    <w:rsid w:val="00DE7AF4"/>
    <w:rsid w:val="00E565FF"/>
    <w:rsid w:val="00E66B48"/>
    <w:rsid w:val="00EC265A"/>
    <w:rsid w:val="00F0637F"/>
    <w:rsid w:val="00F1242B"/>
    <w:rsid w:val="00F34C47"/>
    <w:rsid w:val="00F47997"/>
    <w:rsid w:val="00F82E2F"/>
    <w:rsid w:val="00F919EE"/>
    <w:rsid w:val="00F94CA8"/>
    <w:rsid w:val="00F94FB5"/>
    <w:rsid w:val="00FB5DF1"/>
    <w:rsid w:val="00FE5426"/>
    <w:rsid w:val="0C922976"/>
    <w:rsid w:val="106344B3"/>
    <w:rsid w:val="13380D99"/>
    <w:rsid w:val="1E9E2E08"/>
    <w:rsid w:val="24A43589"/>
    <w:rsid w:val="272C3D35"/>
    <w:rsid w:val="2B5F4FA4"/>
    <w:rsid w:val="2B745BB0"/>
    <w:rsid w:val="36E715D1"/>
    <w:rsid w:val="49F87D54"/>
    <w:rsid w:val="4A884296"/>
    <w:rsid w:val="4D5E6E7F"/>
    <w:rsid w:val="4E9B2FCD"/>
    <w:rsid w:val="4F472528"/>
    <w:rsid w:val="52760EC9"/>
    <w:rsid w:val="52FD0DC4"/>
    <w:rsid w:val="55404D02"/>
    <w:rsid w:val="64284378"/>
    <w:rsid w:val="673F13DF"/>
    <w:rsid w:val="68F41EA2"/>
    <w:rsid w:val="6C0F472B"/>
    <w:rsid w:val="6C635921"/>
    <w:rsid w:val="72FE210C"/>
    <w:rsid w:val="7E2402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Calibri" w:hAnsi="Calibri" w:eastAsia="宋体" w:cs="黑体"/>
      <w:kern w:val="2"/>
      <w:sz w:val="24"/>
      <w:szCs w:val="24"/>
      <w:lang w:val="en-US" w:eastAsia="zh-CN" w:bidi="ar-SA"/>
    </w:rPr>
  </w:style>
  <w:style w:type="paragraph" w:styleId="3">
    <w:name w:val="heading 2"/>
    <w:basedOn w:val="1"/>
    <w:next w:val="1"/>
    <w:link w:val="9"/>
    <w:unhideWhenUsed/>
    <w:qFormat/>
    <w:uiPriority w:val="0"/>
    <w:pPr>
      <w:keepNext/>
      <w:keepLines/>
      <w:spacing w:before="260" w:after="260" w:line="416" w:lineRule="auto"/>
      <w:outlineLvl w:val="1"/>
    </w:pPr>
    <w:rPr>
      <w:rFonts w:ascii="Calibri Light" w:hAnsi="Calibri Light" w:cs="Times New Roman"/>
      <w:b/>
      <w:bCs/>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标题 2 字符"/>
    <w:basedOn w:val="6"/>
    <w:link w:val="3"/>
    <w:qFormat/>
    <w:uiPriority w:val="0"/>
    <w:rPr>
      <w:rFonts w:ascii="Calibri Light" w:hAnsi="Calibri Light" w:eastAsia="宋体" w:cs="Times New Roman"/>
      <w:b/>
      <w:bCs/>
      <w:sz w:val="32"/>
      <w:szCs w:val="32"/>
    </w:rPr>
  </w:style>
  <w:style w:type="character" w:customStyle="1" w:styleId="10">
    <w:name w:val="页眉 字符"/>
    <w:basedOn w:val="6"/>
    <w:link w:val="5"/>
    <w:qFormat/>
    <w:uiPriority w:val="99"/>
    <w:rPr>
      <w:rFonts w:ascii="Calibri" w:hAnsi="Calibri" w:eastAsia="宋体" w:cs="黑体"/>
      <w:sz w:val="18"/>
      <w:szCs w:val="18"/>
    </w:rPr>
  </w:style>
  <w:style w:type="character" w:customStyle="1" w:styleId="11">
    <w:name w:val="页脚 字符"/>
    <w:basedOn w:val="6"/>
    <w:link w:val="4"/>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225</Words>
  <Characters>1289</Characters>
  <Lines>10</Lines>
  <Paragraphs>3</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2020-02-11T14:16:00Z</dcterms:created>
  <dc:creator>user</dc:creator>
  <cp:lastModifiedBy>刘佳</cp:lastModifiedBy>
  <dcterms:modified xsi:type="dcterms:W3CDTF">2025-01-03T12:44:42Z</dcterms:modified>
  <dc:title>关于《北京市东城区关于推动金融高质量发展的若干措施（征求意见稿）》的起草说明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