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leftChars="0" w:right="0"/>
        <w:jc w:val="center"/>
        <w:textAlignment w:val="baseline"/>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北京市东城区关于推动金融高质量发展</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leftChars="0" w:right="0"/>
        <w:jc w:val="center"/>
        <w:textAlignment w:val="baseline"/>
        <w:rPr>
          <w:rFonts w:hint="default"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的</w:t>
      </w:r>
      <w:r>
        <w:rPr>
          <w:rFonts w:hint="default" w:ascii="Times New Roman" w:hAnsi="Times New Roman" w:eastAsia="方正小标宋简体" w:cs="Times New Roman"/>
          <w:sz w:val="44"/>
          <w:szCs w:val="44"/>
          <w:highlight w:val="none"/>
          <w:lang w:val="en-US" w:eastAsia="zh-CN"/>
        </w:rPr>
        <w:t>若干措施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leftChars="0" w:right="0" w:firstLine="64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0A0000" w:fill="FFFFFF"/>
        </w:rPr>
      </w:pP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bCs w:val="0"/>
          <w:i w:val="0"/>
          <w:iCs w:val="0"/>
          <w:caps w:val="0"/>
          <w:color w:val="000000"/>
          <w:spacing w:val="0"/>
          <w:sz w:val="32"/>
          <w:szCs w:val="32"/>
          <w:highlight w:val="none"/>
          <w:shd w:val="clear" w:color="0A0000" w:fill="FFFFFF"/>
          <w:lang w:val="en-US" w:eastAsia="zh-CN"/>
        </w:rPr>
      </w:pPr>
      <w:r>
        <w:rPr>
          <w:rFonts w:hint="default" w:ascii="Times New Roman" w:hAnsi="Times New Roman" w:eastAsia="黑体" w:cs="Times New Roman"/>
          <w:b w:val="0"/>
          <w:bCs w:val="0"/>
          <w:i w:val="0"/>
          <w:iCs w:val="0"/>
          <w:caps w:val="0"/>
          <w:color w:val="000000"/>
          <w:spacing w:val="0"/>
          <w:sz w:val="32"/>
          <w:szCs w:val="32"/>
          <w:highlight w:val="none"/>
          <w:shd w:val="clear" w:color="0A0000" w:fill="FFFFFF"/>
          <w:lang w:val="en-US" w:eastAsia="zh-CN"/>
        </w:rPr>
        <w:t>一、总则</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0A0000"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0A0000" w:fill="FFFFFF"/>
          <w:lang w:val="en-US" w:eastAsia="zh-CN"/>
        </w:rPr>
        <w:t>第一条</w:t>
      </w:r>
      <w:r>
        <w:rPr>
          <w:rFonts w:hint="default" w:ascii="Times New Roman" w:hAnsi="Times New Roman" w:eastAsia="仿宋_GB2312" w:cs="Times New Roman"/>
          <w:b w:val="0"/>
          <w:bCs w:val="0"/>
          <w:i w:val="0"/>
          <w:iCs w:val="0"/>
          <w:caps w:val="0"/>
          <w:color w:val="000000"/>
          <w:spacing w:val="0"/>
          <w:sz w:val="32"/>
          <w:szCs w:val="32"/>
          <w:highlight w:val="none"/>
          <w:shd w:val="clear" w:color="0A0000" w:fill="FFFFFF"/>
          <w:lang w:val="en-US" w:eastAsia="zh-CN"/>
        </w:rPr>
        <w:t xml:space="preserve"> </w:t>
      </w:r>
      <w:r>
        <w:rPr>
          <w:rFonts w:hint="eastAsia" w:ascii="Times New Roman" w:hAnsi="Times New Roman" w:eastAsia="仿宋_GB2312" w:cs="Times New Roman"/>
          <w:b w:val="0"/>
          <w:bCs w:val="0"/>
          <w:i w:val="0"/>
          <w:iCs w:val="0"/>
          <w:caps w:val="0"/>
          <w:color w:val="000000"/>
          <w:spacing w:val="0"/>
          <w:sz w:val="32"/>
          <w:szCs w:val="32"/>
          <w:highlight w:val="none"/>
          <w:shd w:val="clear" w:color="0A0000" w:fill="FFFFFF"/>
          <w:lang w:val="en-US" w:eastAsia="zh-CN"/>
        </w:rPr>
        <w:t>制定原则。</w:t>
      </w:r>
      <w:r>
        <w:rPr>
          <w:rFonts w:hint="eastAsia" w:eastAsia="仿宋_GB2312"/>
          <w:b w:val="0"/>
          <w:bCs w:val="0"/>
          <w:sz w:val="32"/>
          <w:szCs w:val="32"/>
          <w:highlight w:val="none"/>
          <w:lang w:eastAsia="zh-CN"/>
        </w:rPr>
        <w:t>为深入贯彻党的二十大和二十届二中、三中全会以及中央经济工作会议、中</w:t>
      </w:r>
      <w:bookmarkStart w:id="0" w:name="_GoBack"/>
      <w:bookmarkEnd w:id="0"/>
      <w:r>
        <w:rPr>
          <w:rFonts w:hint="eastAsia" w:eastAsia="仿宋_GB2312"/>
          <w:b w:val="0"/>
          <w:bCs w:val="0"/>
          <w:sz w:val="32"/>
          <w:szCs w:val="32"/>
          <w:highlight w:val="none"/>
          <w:lang w:eastAsia="zh-CN"/>
        </w:rPr>
        <w:t>央金融工作会议精神，服务金融强国建设，</w:t>
      </w:r>
      <w:r>
        <w:rPr>
          <w:rFonts w:hint="default" w:ascii="Times New Roman" w:hAnsi="Times New Roman" w:eastAsia="仿宋_GB2312" w:cs="Times New Roman"/>
          <w:b w:val="0"/>
          <w:bCs w:val="0"/>
          <w:i w:val="0"/>
          <w:iCs w:val="0"/>
          <w:caps w:val="0"/>
          <w:color w:val="000000"/>
          <w:spacing w:val="0"/>
          <w:sz w:val="32"/>
          <w:szCs w:val="32"/>
          <w:highlight w:val="none"/>
          <w:shd w:val="clear" w:color="0A0000" w:fill="FFFFFF"/>
          <w:lang w:val="en-US" w:eastAsia="zh-CN"/>
        </w:rPr>
        <w:t>进一步</w:t>
      </w:r>
      <w:r>
        <w:rPr>
          <w:rFonts w:hint="eastAsia" w:ascii="Times New Roman" w:hAnsi="Times New Roman" w:eastAsia="仿宋_GB2312" w:cs="Times New Roman"/>
          <w:b w:val="0"/>
          <w:bCs w:val="0"/>
          <w:i w:val="0"/>
          <w:iCs w:val="0"/>
          <w:caps w:val="0"/>
          <w:color w:val="000000"/>
          <w:spacing w:val="0"/>
          <w:sz w:val="32"/>
          <w:szCs w:val="32"/>
          <w:highlight w:val="none"/>
          <w:shd w:val="clear" w:color="0A0000" w:fill="FFFFFF"/>
          <w:lang w:val="en-US" w:eastAsia="zh-CN"/>
        </w:rPr>
        <w:t>推动</w:t>
      </w:r>
      <w:r>
        <w:rPr>
          <w:rFonts w:hint="default" w:ascii="Times New Roman" w:hAnsi="Times New Roman" w:eastAsia="仿宋_GB2312" w:cs="Times New Roman"/>
          <w:b w:val="0"/>
          <w:bCs w:val="0"/>
          <w:i w:val="0"/>
          <w:iCs w:val="0"/>
          <w:caps w:val="0"/>
          <w:color w:val="000000"/>
          <w:spacing w:val="0"/>
          <w:sz w:val="32"/>
          <w:szCs w:val="32"/>
          <w:highlight w:val="none"/>
          <w:shd w:val="clear" w:color="0A0000" w:fill="FFFFFF"/>
          <w:lang w:val="en-US" w:eastAsia="zh-CN"/>
        </w:rPr>
        <w:t>东城区金融高质量发展</w:t>
      </w:r>
      <w:r>
        <w:rPr>
          <w:rFonts w:hint="eastAsia" w:ascii="Times New Roman" w:hAnsi="Times New Roman" w:eastAsia="仿宋_GB2312" w:cs="Times New Roman"/>
          <w:b w:val="0"/>
          <w:bCs w:val="0"/>
          <w:i w:val="0"/>
          <w:iCs w:val="0"/>
          <w:caps w:val="0"/>
          <w:color w:val="000000"/>
          <w:spacing w:val="0"/>
          <w:sz w:val="32"/>
          <w:szCs w:val="32"/>
          <w:highlight w:val="none"/>
          <w:shd w:val="clear" w:color="0A0000"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根据</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《东城区促进产业高质量发展</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指导意见</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highlight w:val="none"/>
          <w:shd w:val="clear" w:color="0A0000" w:fill="FFFFFF"/>
          <w:lang w:val="en-US" w:eastAsia="zh-CN"/>
        </w:rPr>
        <w:t>现制定《北京市东城区关于推动金融高质量发展</w:t>
      </w:r>
      <w:r>
        <w:rPr>
          <w:rFonts w:hint="eastAsia" w:ascii="Times New Roman" w:hAnsi="Times New Roman" w:eastAsia="仿宋_GB2312" w:cs="Times New Roman"/>
          <w:b w:val="0"/>
          <w:bCs w:val="0"/>
          <w:i w:val="0"/>
          <w:iCs w:val="0"/>
          <w:caps w:val="0"/>
          <w:color w:val="000000"/>
          <w:spacing w:val="0"/>
          <w:sz w:val="32"/>
          <w:szCs w:val="32"/>
          <w:highlight w:val="none"/>
          <w:shd w:val="clear" w:color="0A0000" w:fill="FFFFFF"/>
          <w:lang w:val="en-US" w:eastAsia="zh-CN"/>
        </w:rPr>
        <w:t>的</w:t>
      </w:r>
      <w:r>
        <w:rPr>
          <w:rFonts w:hint="default" w:ascii="Times New Roman" w:hAnsi="Times New Roman" w:eastAsia="仿宋_GB2312" w:cs="Times New Roman"/>
          <w:b w:val="0"/>
          <w:bCs w:val="0"/>
          <w:i w:val="0"/>
          <w:iCs w:val="0"/>
          <w:caps w:val="0"/>
          <w:color w:val="000000"/>
          <w:spacing w:val="0"/>
          <w:sz w:val="32"/>
          <w:szCs w:val="32"/>
          <w:highlight w:val="none"/>
          <w:shd w:val="clear" w:color="0A0000" w:fill="FFFFFF"/>
          <w:lang w:val="en-US" w:eastAsia="zh-CN"/>
        </w:rPr>
        <w:t xml:space="preserve">若干措施》。    </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第二条</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 xml:space="preserve"> 资金使用与管理原则。</w:t>
      </w:r>
      <w:r>
        <w:rPr>
          <w:rFonts w:hint="default" w:ascii="Times New Roman" w:hAnsi="Times New Roman" w:eastAsia="仿宋_GB2312" w:cs="Times New Roman"/>
          <w:color w:val="auto"/>
          <w:kern w:val="0"/>
          <w:sz w:val="32"/>
          <w:szCs w:val="32"/>
          <w:highlight w:val="none"/>
          <w:lang w:val="en-US" w:eastAsia="zh-CN" w:bidi="ar-SA"/>
        </w:rPr>
        <w:t>本措施按照公开、公平、公正原则，实行总量控制、自愿申报、专家评审、政府决策的原则，采取企业为主体，项目为依托的“项目支持资金申报制度”，在每年东城区产业发展专项资金总预算内对符合东城区产业发展的项目给予资金扶持。</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第三条</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 xml:space="preserve"> 政策适用对象。本措施适用对象为在东城区注册经营或有实际经营活动，为东城区经济高质量发展做出贡献的企业。</w:t>
      </w:r>
    </w:p>
    <w:p>
      <w:pPr>
        <w:pStyle w:val="3"/>
        <w:wordWrap/>
        <w:adjustRightInd/>
        <w:spacing w:beforeAutospacing="0" w:afterAutospacing="0" w:line="560" w:lineRule="exact"/>
        <w:ind w:firstLine="643" w:firstLineChars="200"/>
        <w:jc w:val="both"/>
        <w:textAlignment w:val="baseline"/>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第四条</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 xml:space="preserve"> 申报条件。第三条适用对象参照本措施</w:t>
      </w:r>
      <w:r>
        <w:rPr>
          <w:rFonts w:hint="default" w:ascii="Times New Roman" w:hAnsi="Times New Roman" w:eastAsia="仿宋_GB2312" w:cs="Times New Roman"/>
          <w:b w:val="0"/>
          <w:bCs w:val="0"/>
          <w:color w:val="auto"/>
          <w:kern w:val="0"/>
          <w:sz w:val="32"/>
          <w:szCs w:val="32"/>
          <w:highlight w:val="none"/>
          <w:lang w:val="en-US" w:eastAsia="zh-CN" w:bidi="ar-SA"/>
        </w:rPr>
        <w:t>申请支持资金的项目应当符合以下基本条件：</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（一）申报单位依法经营，具有健全的财务管理与核算体系；生产及经营状况良好，具有相应的资金筹措能力；</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（二）申报项目符合东城区各产业发展方向，符合区产业政策支持的条件，发展目标明确，具有较好的社会效益和经济效益；</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（三）项目程序合法、手续齐全完备。</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（四）申报单位有下列情形之一的，不予支持：</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当年度发生重大生产安全事故、重大环境污染事故、严重产品质量问题、严重失信行为、偷税漏税被税务机关立案查处、被列入有关失信联合惩戒黑名单等对社会产生重大负面影响。</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bCs w:val="0"/>
          <w:i w:val="0"/>
          <w:iCs w:val="0"/>
          <w:caps w:val="0"/>
          <w:color w:val="000000"/>
          <w:spacing w:val="0"/>
          <w:sz w:val="32"/>
          <w:szCs w:val="32"/>
          <w:highlight w:val="none"/>
          <w:shd w:val="clear" w:color="0B0000" w:fill="FFFFFF"/>
          <w:lang w:val="en-US" w:eastAsia="zh-CN"/>
        </w:rPr>
      </w:pPr>
      <w:r>
        <w:rPr>
          <w:rFonts w:hint="default" w:ascii="Times New Roman" w:hAnsi="Times New Roman" w:eastAsia="黑体" w:cs="Times New Roman"/>
          <w:b w:val="0"/>
          <w:bCs w:val="0"/>
          <w:i w:val="0"/>
          <w:iCs w:val="0"/>
          <w:caps w:val="0"/>
          <w:color w:val="000000"/>
          <w:spacing w:val="0"/>
          <w:sz w:val="32"/>
          <w:szCs w:val="32"/>
          <w:highlight w:val="none"/>
          <w:shd w:val="clear" w:color="0B0000" w:fill="FFFFFF"/>
          <w:lang w:val="en-US" w:eastAsia="zh-CN"/>
        </w:rPr>
        <w:t>二、推动金融</w:t>
      </w:r>
      <w:r>
        <w:rPr>
          <w:rFonts w:hint="eastAsia" w:ascii="Times New Roman" w:hAnsi="Times New Roman" w:eastAsia="黑体" w:cs="Times New Roman"/>
          <w:b w:val="0"/>
          <w:bCs w:val="0"/>
          <w:i w:val="0"/>
          <w:iCs w:val="0"/>
          <w:caps w:val="0"/>
          <w:color w:val="000000"/>
          <w:spacing w:val="0"/>
          <w:sz w:val="32"/>
          <w:szCs w:val="32"/>
          <w:highlight w:val="none"/>
          <w:shd w:val="clear" w:color="0B0000" w:fill="FFFFFF"/>
          <w:lang w:val="en-US" w:eastAsia="zh-CN"/>
        </w:rPr>
        <w:t>高质量</w:t>
      </w:r>
      <w:r>
        <w:rPr>
          <w:rFonts w:hint="default" w:ascii="Times New Roman" w:hAnsi="Times New Roman" w:eastAsia="黑体" w:cs="Times New Roman"/>
          <w:b w:val="0"/>
          <w:bCs w:val="0"/>
          <w:i w:val="0"/>
          <w:iCs w:val="0"/>
          <w:caps w:val="0"/>
          <w:color w:val="000000"/>
          <w:spacing w:val="0"/>
          <w:sz w:val="32"/>
          <w:szCs w:val="32"/>
          <w:highlight w:val="none"/>
          <w:shd w:val="clear" w:color="0B0000" w:fill="FFFFFF"/>
          <w:lang w:val="en-US" w:eastAsia="zh-CN"/>
        </w:rPr>
        <w:t>发展</w:t>
      </w:r>
    </w:p>
    <w:p>
      <w:pPr>
        <w:wordWrap/>
        <w:adjustRightInd/>
        <w:snapToGrid w:val="0"/>
        <w:spacing w:line="56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i w:val="0"/>
          <w:iCs w:val="0"/>
          <w:caps w:val="0"/>
          <w:color w:val="000000"/>
          <w:spacing w:val="0"/>
          <w:kern w:val="0"/>
          <w:sz w:val="32"/>
          <w:szCs w:val="32"/>
          <w:highlight w:val="none"/>
          <w:shd w:val="clear" w:color="0C0000" w:fill="FFFFFF"/>
          <w:lang w:val="en-US" w:eastAsia="zh-CN"/>
        </w:rPr>
        <w:t>第五条</w:t>
      </w:r>
      <w:r>
        <w:rPr>
          <w:rFonts w:hint="default" w:ascii="Times New Roman" w:hAnsi="Times New Roman" w:eastAsia="仿宋_GB2312" w:cs="Times New Roman"/>
          <w:sz w:val="32"/>
          <w:szCs w:val="32"/>
          <w:highlight w:val="none"/>
          <w:lang w:val="en-US" w:eastAsia="zh-CN"/>
        </w:rPr>
        <w:t xml:space="preserve"> 对经国家金融管理部门批准设立的持牌法人金融机构，</w:t>
      </w:r>
      <w:r>
        <w:rPr>
          <w:rFonts w:hint="eastAsia" w:ascii="Times New Roman" w:hAnsi="Times New Roman" w:eastAsia="仿宋_GB2312" w:cs="Times New Roman"/>
          <w:sz w:val="32"/>
          <w:szCs w:val="32"/>
          <w:highlight w:val="none"/>
        </w:rPr>
        <w:t>实收资本</w:t>
      </w:r>
      <w:r>
        <w:rPr>
          <w:rFonts w:hint="default" w:ascii="Times New Roman" w:hAnsi="Times New Roman" w:eastAsia="仿宋_GB2312" w:cs="Times New Roman"/>
          <w:sz w:val="32"/>
          <w:szCs w:val="32"/>
          <w:highlight w:val="none"/>
        </w:rPr>
        <w:t>1亿元（含）-5亿元的补助500万元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5亿元（含）-10亿</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的补助1000万元，10亿元（含）-30亿元的补助2000万元，30亿元（含）以上的补助5000万元。</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 xml:space="preserve">第六条 </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持牌法人金融机构增资的，实收资本增资</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10亿元（含）以上的，给予一次性补助1000万元；</w:t>
      </w:r>
      <w:r>
        <w:rPr>
          <w:rFonts w:hint="eastAsia" w:ascii="Times New Roman" w:hAnsi="Times New Roman" w:eastAsia="仿宋_GB2312" w:cs="Times New Roman"/>
          <w:b w:val="0"/>
          <w:bCs w:val="0"/>
          <w:sz w:val="32"/>
          <w:szCs w:val="32"/>
          <w:highlight w:val="none"/>
          <w:lang w:eastAsia="zh-CN"/>
        </w:rPr>
        <w:t>实收资本</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累计增资100亿元（含）以上的，再给予一次性补助1000万元，累计最高不超过2000万元。</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both"/>
        <w:textAlignment w:val="baseline"/>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第七条</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 xml:space="preserve"> </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支持持牌法人金融机构</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通过并购重组扩大经营，参照</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第六条</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规定给予并购方并购补助</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w:t>
      </w:r>
      <w:r>
        <w:rPr>
          <w:rFonts w:hint="eastAsia"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八</w:t>
      </w: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条</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 xml:space="preserve"> 支持金融机构提档升级</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鼓励金融机构新设一级分支机构</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、专营机构，新设区域业务总部及客户服务中心等功能性总部，</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给予最高500万元一次性补助</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。鼓励外资金融机构代表处转制为法人机构，参照第五条规定给予补助。</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w:t>
      </w:r>
      <w:r>
        <w:rPr>
          <w:rFonts w:hint="eastAsia"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九</w:t>
      </w: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条</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 xml:space="preserve"> 对股权投资机构投资区内重点支持产业的，根据实际投资规模给予奖励</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。五年内</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累计</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投资</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规模1亿元（含）-</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5</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亿元的给予一次性补助100万元；</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5</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亿元（含）-</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10</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亿元的给予一次性补助</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2</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00万元；10亿元（含）以上的给予一次性补助500万元。</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第十条</w:t>
      </w:r>
      <w:r>
        <w:rPr>
          <w:rFonts w:hint="eastAsia"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 xml:space="preserve"> </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支持基金管理</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公司及其</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基金产品“双落地”</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。支持私募基金管理公司落地，按实缴资本的一定比例给予奖励。</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对成功实现退出的私募基金，</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给予</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最高1000万元一次性</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补助。</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第十</w:t>
      </w:r>
      <w:r>
        <w:rPr>
          <w:rFonts w:hint="eastAsia"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一</w:t>
      </w: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 xml:space="preserve">条 </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鼓励金融机构提升行业影响力。每年根据企业服务实体经济、产品创新、奖项荣誉、发展情况等方面的综合表现，经综合认定给予不超过</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1</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亿元的专项奖励。</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pPr>
      <w:r>
        <w:rPr>
          <w:rFonts w:hint="eastAsia"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第十二条</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 xml:space="preserve"> 加强金融</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人才高地建设</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对</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驻区金融机构</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进行综合贡献评价，经认定，给予人才、管理团队</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相应</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专项支持。构建人才配套服务体系</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为企业在人才培育、住房、子女教育、医疗服务、养老等生活配套服务方面提供综合保障。</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黑体" w:cs="Times New Roman"/>
          <w:b w:val="0"/>
          <w:bCs w:val="0"/>
          <w:i w:val="0"/>
          <w:iCs w:val="0"/>
          <w:caps w:val="0"/>
          <w:color w:val="000000"/>
          <w:spacing w:val="0"/>
          <w:sz w:val="32"/>
          <w:szCs w:val="32"/>
          <w:highlight w:val="none"/>
          <w:shd w:val="clear" w:color="0B0000" w:fill="FFFFFF"/>
          <w:lang w:val="en-US" w:eastAsia="zh-CN"/>
        </w:rPr>
      </w:pPr>
      <w:r>
        <w:rPr>
          <w:rFonts w:hint="eastAsia" w:ascii="Times New Roman" w:hAnsi="Times New Roman" w:eastAsia="黑体" w:cs="Times New Roman"/>
          <w:b w:val="0"/>
          <w:bCs w:val="0"/>
          <w:i w:val="0"/>
          <w:iCs w:val="0"/>
          <w:caps w:val="0"/>
          <w:color w:val="000000"/>
          <w:spacing w:val="0"/>
          <w:sz w:val="32"/>
          <w:szCs w:val="32"/>
          <w:highlight w:val="none"/>
          <w:shd w:val="clear" w:color="0B0000" w:fill="FFFFFF"/>
          <w:lang w:val="en-US" w:eastAsia="zh-CN"/>
        </w:rPr>
        <w:t>三</w:t>
      </w:r>
      <w:r>
        <w:rPr>
          <w:rFonts w:hint="default" w:ascii="Times New Roman" w:hAnsi="Times New Roman" w:eastAsia="黑体" w:cs="Times New Roman"/>
          <w:b w:val="0"/>
          <w:bCs w:val="0"/>
          <w:i w:val="0"/>
          <w:iCs w:val="0"/>
          <w:caps w:val="0"/>
          <w:color w:val="000000"/>
          <w:spacing w:val="0"/>
          <w:sz w:val="32"/>
          <w:szCs w:val="32"/>
          <w:highlight w:val="none"/>
          <w:shd w:val="clear" w:color="0B0000" w:fill="FFFFFF"/>
          <w:lang w:val="en-US" w:eastAsia="zh-CN"/>
        </w:rPr>
        <w:t>、附则</w:t>
      </w:r>
    </w:p>
    <w:p>
      <w:pPr>
        <w:pStyle w:val="3"/>
        <w:widowControl/>
        <w:pBdr>
          <w:top w:val="none" w:color="auto" w:sz="0" w:space="0"/>
          <w:left w:val="none" w:color="auto" w:sz="0" w:space="0"/>
          <w:bottom w:val="none" w:color="auto" w:sz="0" w:space="0"/>
          <w:right w:val="none" w:color="auto" w:sz="0" w:space="0"/>
        </w:pBdr>
        <w:wordWrap/>
        <w:adjustRightInd/>
        <w:spacing w:beforeAutospacing="0" w:afterAutospacing="0" w:line="560" w:lineRule="exact"/>
        <w:ind w:firstLine="643" w:firstLineChars="20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第十</w:t>
      </w:r>
      <w:r>
        <w:rPr>
          <w:rFonts w:hint="eastAsia"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三</w:t>
      </w: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条</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 xml:space="preserve"> 本政策自</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发</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布之日起实施，试行3年，相关细则与申报指南由</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东城区发展和改革委员会</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另行制定。</w:t>
      </w:r>
    </w:p>
    <w:p>
      <w:pPr>
        <w:pStyle w:val="3"/>
        <w:widowControl/>
        <w:pBdr>
          <w:top w:val="none" w:color="auto" w:sz="0" w:space="0"/>
          <w:left w:val="none" w:color="auto" w:sz="0" w:space="0"/>
          <w:bottom w:val="none" w:color="auto" w:sz="0" w:space="0"/>
          <w:right w:val="none" w:color="auto" w:sz="0" w:space="0"/>
        </w:pBdr>
        <w:wordWrap/>
        <w:adjustRightInd/>
        <w:spacing w:beforeAutospacing="0" w:afterAutospacing="0" w:line="560" w:lineRule="exact"/>
        <w:ind w:firstLine="643" w:firstLineChars="200"/>
        <w:jc w:val="both"/>
        <w:textAlignment w:val="baseline"/>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w:t>
      </w:r>
      <w:r>
        <w:rPr>
          <w:rFonts w:hint="eastAsia"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十四</w:t>
      </w: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条</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 xml:space="preserve"> 政策实施期间，根据行业发展重大变化或上级政策调整，由牵头部门提议，经东城区政府相关决议程序后予以修订。本政策由</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东城区发展和改革委员会</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负责解释。</w:t>
      </w:r>
    </w:p>
    <w:p>
      <w:pPr>
        <w:pStyle w:val="9"/>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w:t>
      </w:r>
      <w:r>
        <w:rPr>
          <w:rFonts w:hint="eastAsia"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十五</w:t>
      </w: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条</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 xml:space="preserve"> </w:t>
      </w:r>
      <w:r>
        <w:rPr>
          <w:rFonts w:hint="default" w:ascii="Times New Roman" w:hAnsi="Times New Roman" w:eastAsia="仿宋_GB2312" w:cs="Times New Roman"/>
          <w:color w:val="auto"/>
          <w:kern w:val="0"/>
          <w:sz w:val="32"/>
          <w:szCs w:val="32"/>
          <w:highlight w:val="none"/>
          <w:lang w:val="en-US" w:eastAsia="zh-CN" w:bidi="ar-SA"/>
        </w:rPr>
        <w:t>项目申请单位按照当年度申报指南要求，及时申报并向相关职能部门提交真实、完整、有效的申请材料，项目申请单位对申报材料的真实性、完整性、有效性和合法性负责。</w:t>
      </w:r>
    </w:p>
    <w:p>
      <w:pPr>
        <w:pStyle w:val="9"/>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对不符合受理条件的申报项目不予受理，对申报材料不全的一次性告知申报单位需补齐的申报资料。</w:t>
      </w:r>
    </w:p>
    <w:p>
      <w:pPr>
        <w:pStyle w:val="9"/>
        <w:numPr>
          <w:ilvl w:val="0"/>
          <w:numId w:val="0"/>
        </w:numPr>
        <w:wordWrap/>
        <w:adjustRightInd/>
        <w:spacing w:beforeAutospacing="0" w:afterAutospacing="0" w:line="56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第</w:t>
      </w:r>
      <w:r>
        <w:rPr>
          <w:rFonts w:hint="eastAsia"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十六</w:t>
      </w:r>
      <w:r>
        <w:rPr>
          <w:rFonts w:hint="default" w:ascii="Times New Roman" w:hAnsi="Times New Roman" w:eastAsia="仿宋_GB2312" w:cs="Times New Roman"/>
          <w:b/>
          <w:bCs/>
          <w:i w:val="0"/>
          <w:iCs w:val="0"/>
          <w:caps w:val="0"/>
          <w:color w:val="000000"/>
          <w:spacing w:val="0"/>
          <w:sz w:val="32"/>
          <w:szCs w:val="32"/>
          <w:highlight w:val="none"/>
          <w:shd w:val="clear" w:color="0B0000" w:fill="FFFFFF"/>
          <w:lang w:val="en-US" w:eastAsia="zh-CN"/>
        </w:rPr>
        <w:t>条</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 xml:space="preserve"> 项目审核。</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东城区发展和改革委员会</w:t>
      </w:r>
      <w:r>
        <w:rPr>
          <w:rFonts w:hint="default" w:ascii="Times New Roman" w:hAnsi="Times New Roman" w:eastAsia="仿宋_GB2312" w:cs="Times New Roman"/>
          <w:color w:val="auto"/>
          <w:kern w:val="0"/>
          <w:sz w:val="32"/>
          <w:szCs w:val="32"/>
          <w:highlight w:val="none"/>
          <w:lang w:val="en-US" w:eastAsia="zh-CN" w:bidi="ar-SA"/>
        </w:rPr>
        <w:t>制定项目审核办法，明确审核标准和程序，组织开展项目审核工作。必要时通过专家评审、现场考察或专项审计等方式进行，确保项目评审工作公开、公平、公正。</w:t>
      </w:r>
    </w:p>
    <w:p>
      <w:pPr>
        <w:pStyle w:val="9"/>
        <w:numPr>
          <w:ilvl w:val="0"/>
          <w:numId w:val="0"/>
        </w:numPr>
        <w:wordWrap/>
        <w:adjustRightInd/>
        <w:spacing w:beforeAutospacing="0" w:afterAutospacing="0" w:line="560" w:lineRule="exact"/>
        <w:ind w:firstLine="643" w:firstLineChars="200"/>
        <w:jc w:val="both"/>
        <w:textAlignment w:val="auto"/>
        <w:rPr>
          <w:rFonts w:hint="default" w:ascii="Times New Roman" w:hAnsi="Times New Roman" w:eastAsia="仿宋_GB2312" w:cs="Times New Roman"/>
          <w:b w:val="0"/>
          <w:bCs w:val="0"/>
          <w:i w:val="0"/>
          <w:iCs w:val="0"/>
          <w:caps w:val="0"/>
          <w:color w:val="000000"/>
          <w:spacing w:val="0"/>
          <w:kern w:val="0"/>
          <w:sz w:val="32"/>
          <w:szCs w:val="32"/>
          <w:highlight w:val="none"/>
          <w:shd w:val="clear" w:color="0B0000" w:fill="FFFFFF"/>
          <w:lang w:val="en-US" w:eastAsia="zh-CN"/>
        </w:rPr>
      </w:pPr>
      <w:r>
        <w:rPr>
          <w:rFonts w:hint="default" w:ascii="Times New Roman" w:hAnsi="Times New Roman" w:eastAsia="仿宋_GB2312" w:cs="Times New Roman"/>
          <w:b/>
          <w:bCs/>
          <w:color w:val="auto"/>
          <w:kern w:val="0"/>
          <w:sz w:val="32"/>
          <w:szCs w:val="32"/>
          <w:highlight w:val="none"/>
          <w:lang w:val="en-US" w:eastAsia="zh-CN" w:bidi="ar-SA"/>
        </w:rPr>
        <w:t>第</w:t>
      </w:r>
      <w:r>
        <w:rPr>
          <w:rFonts w:hint="eastAsia" w:ascii="Times New Roman" w:hAnsi="Times New Roman" w:eastAsia="仿宋_GB2312" w:cs="Times New Roman"/>
          <w:b/>
          <w:bCs/>
          <w:color w:val="auto"/>
          <w:kern w:val="0"/>
          <w:sz w:val="32"/>
          <w:szCs w:val="32"/>
          <w:highlight w:val="none"/>
          <w:lang w:val="en-US" w:eastAsia="zh-CN" w:bidi="ar-SA"/>
        </w:rPr>
        <w:t>十七</w:t>
      </w:r>
      <w:r>
        <w:rPr>
          <w:rFonts w:hint="default" w:ascii="Times New Roman" w:hAnsi="Times New Roman" w:eastAsia="仿宋_GB2312" w:cs="Times New Roman"/>
          <w:b/>
          <w:bCs/>
          <w:color w:val="auto"/>
          <w:kern w:val="0"/>
          <w:sz w:val="32"/>
          <w:szCs w:val="32"/>
          <w:highlight w:val="none"/>
          <w:lang w:val="en-US" w:eastAsia="zh-CN" w:bidi="ar-SA"/>
        </w:rPr>
        <w:t>条</w:t>
      </w:r>
      <w:r>
        <w:rPr>
          <w:rFonts w:hint="default" w:ascii="Times New Roman" w:hAnsi="Times New Roman" w:eastAsia="仿宋_GB2312" w:cs="Times New Roman"/>
          <w:color w:val="auto"/>
          <w:kern w:val="0"/>
          <w:sz w:val="32"/>
          <w:szCs w:val="32"/>
          <w:highlight w:val="none"/>
          <w:lang w:val="en-US" w:eastAsia="zh-CN" w:bidi="ar-SA"/>
        </w:rPr>
        <w:t xml:space="preserve"> </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根据</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《东城区促进产业高质量发展</w:t>
      </w:r>
      <w:r>
        <w:rPr>
          <w:rFonts w:hint="eastAsia"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指导意见</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highlight w:val="none"/>
          <w:shd w:val="clear" w:color="0B0000" w:fill="FFFFFF"/>
          <w:lang w:val="en-US" w:eastAsia="zh-CN"/>
        </w:rPr>
        <w:t>第九条规定，同一企业的同一项目同时符合多项区级政策支持条件的，按照“从优不重复”原则予以支持。同一企业同时有多个项目符合区级政策支持条件的，由东城区相关部门组织专家评审会综合评估后确认项目申报是否通过。</w:t>
      </w:r>
    </w:p>
    <w:sectPr>
      <w:footerReference r:id="rId3"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22"/>
        <w:tab w:val="clear" w:pos="4153"/>
      </w:tabs>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rect>
      </w:pic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WJmMGEyNDcyNzUwY2NmZmZhZDgwOGVhYzRjMmFkYTIifQ=="/>
  </w:docVars>
  <w:rsids>
    <w:rsidRoot w:val="00000000"/>
    <w:rsid w:val="01052E81"/>
    <w:rsid w:val="01814A89"/>
    <w:rsid w:val="0242529C"/>
    <w:rsid w:val="044B1D67"/>
    <w:rsid w:val="062D5F77"/>
    <w:rsid w:val="072C359D"/>
    <w:rsid w:val="0F5D2EBA"/>
    <w:rsid w:val="11812847"/>
    <w:rsid w:val="119C3F19"/>
    <w:rsid w:val="12797090"/>
    <w:rsid w:val="12EE510B"/>
    <w:rsid w:val="154111F4"/>
    <w:rsid w:val="15AE00BC"/>
    <w:rsid w:val="1809187D"/>
    <w:rsid w:val="198306A0"/>
    <w:rsid w:val="1B244EFB"/>
    <w:rsid w:val="1CA439C1"/>
    <w:rsid w:val="1D0F0C0A"/>
    <w:rsid w:val="21A800AD"/>
    <w:rsid w:val="22385BDF"/>
    <w:rsid w:val="231D3FEA"/>
    <w:rsid w:val="273170AC"/>
    <w:rsid w:val="27531181"/>
    <w:rsid w:val="2A897EEE"/>
    <w:rsid w:val="2AA979D2"/>
    <w:rsid w:val="2F0C5220"/>
    <w:rsid w:val="311A6D9D"/>
    <w:rsid w:val="3181374A"/>
    <w:rsid w:val="343F2E53"/>
    <w:rsid w:val="35EE657E"/>
    <w:rsid w:val="36B009E2"/>
    <w:rsid w:val="37B70F8E"/>
    <w:rsid w:val="38A93939"/>
    <w:rsid w:val="3C7C3FA7"/>
    <w:rsid w:val="42233170"/>
    <w:rsid w:val="42FE06DA"/>
    <w:rsid w:val="49DE5A9C"/>
    <w:rsid w:val="4A8F6796"/>
    <w:rsid w:val="4E7548E5"/>
    <w:rsid w:val="50933FE7"/>
    <w:rsid w:val="53E85CF5"/>
    <w:rsid w:val="54DF205F"/>
    <w:rsid w:val="5650533D"/>
    <w:rsid w:val="5DD83C04"/>
    <w:rsid w:val="5E635C64"/>
    <w:rsid w:val="5EB4679D"/>
    <w:rsid w:val="5F296EC0"/>
    <w:rsid w:val="64D24B74"/>
    <w:rsid w:val="6907377E"/>
    <w:rsid w:val="6A677F0D"/>
    <w:rsid w:val="6A9E0EE7"/>
    <w:rsid w:val="6ACC52BF"/>
    <w:rsid w:val="6C150B82"/>
    <w:rsid w:val="6CAD1B2A"/>
    <w:rsid w:val="6D882E06"/>
    <w:rsid w:val="6E9F208F"/>
    <w:rsid w:val="70306D77"/>
    <w:rsid w:val="70A3170E"/>
    <w:rsid w:val="737C0B13"/>
    <w:rsid w:val="74B11CB4"/>
    <w:rsid w:val="76D878E9"/>
    <w:rsid w:val="7BA3430D"/>
    <w:rsid w:val="7EFD3C86"/>
    <w:rsid w:val="7F8453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2336</Words>
  <Characters>2371</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刘佳</cp:lastModifiedBy>
  <cp:lastPrinted>2025-01-03T11:11:00Z</cp:lastPrinted>
  <dcterms:modified xsi:type="dcterms:W3CDTF">2025-01-03T13:08:53Z</dcterms:modified>
  <dc:title>北京市东城区关于推动金融高质量发展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5A02A1EEAEA74F00AC38290A7534A4BB_12</vt:lpwstr>
  </property>
</Properties>
</file>