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hAnsi="方正小标宋简体" w:cs="方正小标宋简体"/>
          <w:color w:val="000000"/>
          <w:sz w:val="44"/>
          <w:szCs w:val="44"/>
        </w:rPr>
      </w:pPr>
    </w:p>
    <w:p>
      <w:pPr>
        <w:spacing w:line="620" w:lineRule="exact"/>
        <w:jc w:val="center"/>
        <w:rPr>
          <w:rFonts w:hAnsi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cs="方正小标宋简体"/>
          <w:color w:val="000000"/>
          <w:sz w:val="44"/>
          <w:szCs w:val="44"/>
        </w:rPr>
        <w:t>关于《北京市重点旅游项目奖励和贷款贴息实施细则</w:t>
      </w:r>
      <w:r>
        <w:rPr>
          <w:rFonts w:hint="eastAsia" w:hAnsi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》的起草说明</w:t>
      </w:r>
    </w:p>
    <w:p>
      <w:pPr>
        <w:spacing w:line="620" w:lineRule="exact"/>
        <w:rPr>
          <w:rFonts w:ascii="黑体" w:hAnsi="黑体" w:eastAsia="黑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62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一、起草背景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为深入贯彻落实全市旅游发展大会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对重点旅游项目引导支持，整合集聚优势资源，助力旅游产业高质量发展，北京市文化和旅游局根据《北京市市对区旅游发展补助资金管理办法》，研究起草了《北京市重点旅游项目奖励及贷款贴息实施细则》（征求意见稿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（以下简称《实施细则》）。</w:t>
      </w:r>
    </w:p>
    <w:p>
      <w:pPr>
        <w:pStyle w:val="2"/>
        <w:spacing w:before="0" w:after="0" w:line="62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二、主要内容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《实施细则》共分五章十七条，明确了资金支持范围和方式，项目的申报、评审和拨付程序以及资金的监督管理等事项。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在支持范围和方式上，《实施细则》提出，重点支持纳入北京市文旅产业项目库且符合支持条件的旅游项目，以及获得国家级旅游相关品牌的项目。支持方式包括奖励和贷款贴息两种，其中，奖励资金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针对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国家级旅游品牌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采取事后奖励方式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贷款贴息资金采取先付后贴方式，对已获得银行贷款并支付利息</w:t>
      </w:r>
      <w:r>
        <w:rPr>
          <w:rFonts w:hint="eastAsia" w:ascii="仿宋_GB2312" w:hAnsi="楷体" w:eastAsia="仿宋_GB2312" w:cs="黑体"/>
          <w:sz w:val="32"/>
          <w:szCs w:val="32"/>
        </w:rPr>
        <w:t>的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旅游产业</w:t>
      </w:r>
      <w:r>
        <w:rPr>
          <w:rFonts w:hint="eastAsia" w:ascii="仿宋_GB2312" w:hAnsi="楷体" w:eastAsia="仿宋_GB2312" w:cs="黑体"/>
          <w:sz w:val="32"/>
          <w:szCs w:val="32"/>
        </w:rPr>
        <w:t>项目，经审定给予贴息支持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黑体"/>
          <w:sz w:val="32"/>
          <w:szCs w:val="32"/>
        </w:rPr>
        <w:t>对具有融资需求但尚未取得银行贷款的符合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政策</w:t>
      </w:r>
      <w:r>
        <w:rPr>
          <w:rFonts w:hint="eastAsia" w:ascii="仿宋_GB2312" w:hAnsi="楷体" w:eastAsia="仿宋_GB2312" w:cs="黑体"/>
          <w:sz w:val="32"/>
          <w:szCs w:val="32"/>
        </w:rPr>
        <w:t>条件的项目，由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商业</w:t>
      </w:r>
      <w:r>
        <w:rPr>
          <w:rFonts w:hint="eastAsia" w:ascii="仿宋_GB2312" w:hAnsi="楷体" w:eastAsia="仿宋_GB2312" w:cs="黑体"/>
          <w:sz w:val="32"/>
          <w:szCs w:val="32"/>
        </w:rPr>
        <w:t>银行按照市场化原则投放贷款资金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后予以贴息支持</w:t>
      </w:r>
      <w:r>
        <w:rPr>
          <w:rFonts w:hint="eastAsia" w:ascii="仿宋_GB2312" w:hAnsi="楷体" w:eastAsia="仿宋_GB2312" w:cs="黑体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在项目的申报、评审和资金拨付程序上，市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局每年向社</w:t>
      </w:r>
      <w:r>
        <w:rPr>
          <w:rFonts w:hint="eastAsia" w:ascii="仿宋_GB2312" w:hAnsi="仿宋" w:eastAsia="仿宋_GB2312"/>
          <w:bCs/>
          <w:sz w:val="32"/>
          <w:szCs w:val="32"/>
        </w:rPr>
        <w:t>会发布项目征集公告，由各区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文化和旅游</w:t>
      </w:r>
      <w:r>
        <w:rPr>
          <w:rFonts w:hint="eastAsia" w:ascii="仿宋_GB2312" w:hAnsi="仿宋" w:eastAsia="仿宋_GB2312"/>
          <w:bCs/>
          <w:sz w:val="32"/>
          <w:szCs w:val="32"/>
        </w:rPr>
        <w:t>局对本区申报项目进行初审后上报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对上报项目审核后纳入北京市文旅产业项目库，按程序进行评审后</w:t>
      </w:r>
      <w:r>
        <w:rPr>
          <w:rFonts w:hint="eastAsia" w:ascii="仿宋_GB2312" w:hAnsi="仿宋" w:eastAsia="仿宋_GB2312"/>
          <w:bCs/>
          <w:sz w:val="32"/>
          <w:szCs w:val="32"/>
        </w:rPr>
        <w:t>形成资金分</w:t>
      </w:r>
      <w:r>
        <w:rPr>
          <w:rFonts w:hint="eastAsia" w:ascii="仿宋_GB2312" w:hAnsi="仿宋" w:eastAsia="仿宋_GB2312"/>
          <w:sz w:val="32"/>
          <w:szCs w:val="32"/>
        </w:rPr>
        <w:t>配方案，报市财政局进行资金批复与拨付；各区财政局会同区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按程序将资金拨付项目单位。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在资金监督管理上，市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和各区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共同负责奖励和贷款贴息资金的监督管理，并接受相关部门的监督。市财政局会同市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指导区财政局、区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文化和旅游</w:t>
      </w:r>
      <w:r>
        <w:rPr>
          <w:rFonts w:hint="eastAsia" w:ascii="仿宋_GB2312" w:hAnsi="楷体" w:eastAsia="仿宋_GB2312" w:cs="黑体"/>
          <w:sz w:val="32"/>
          <w:szCs w:val="32"/>
        </w:rPr>
        <w:t>局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对资金管理使用情况实施绩效评价。</w:t>
      </w:r>
    </w:p>
    <w:sectPr>
      <w:footerReference r:id="rId3" w:type="default"/>
      <w:pgSz w:w="11906" w:h="16838"/>
      <w:pgMar w:top="158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9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F4"/>
    <w:rsid w:val="00033CB2"/>
    <w:rsid w:val="00035511"/>
    <w:rsid w:val="00090D8B"/>
    <w:rsid w:val="000C0614"/>
    <w:rsid w:val="000E2CA3"/>
    <w:rsid w:val="001118B0"/>
    <w:rsid w:val="001405F2"/>
    <w:rsid w:val="00152FC7"/>
    <w:rsid w:val="001976DF"/>
    <w:rsid w:val="001C1090"/>
    <w:rsid w:val="001C3137"/>
    <w:rsid w:val="001C51C0"/>
    <w:rsid w:val="00264BD5"/>
    <w:rsid w:val="003345B2"/>
    <w:rsid w:val="00347C02"/>
    <w:rsid w:val="00360D4C"/>
    <w:rsid w:val="00367D3C"/>
    <w:rsid w:val="00376280"/>
    <w:rsid w:val="003A494B"/>
    <w:rsid w:val="003B6AA5"/>
    <w:rsid w:val="004318D8"/>
    <w:rsid w:val="004408F4"/>
    <w:rsid w:val="00447986"/>
    <w:rsid w:val="004611EC"/>
    <w:rsid w:val="00463270"/>
    <w:rsid w:val="004D0B45"/>
    <w:rsid w:val="004D3CB0"/>
    <w:rsid w:val="004E0748"/>
    <w:rsid w:val="0052236A"/>
    <w:rsid w:val="00525134"/>
    <w:rsid w:val="005379ED"/>
    <w:rsid w:val="00547A79"/>
    <w:rsid w:val="005635E1"/>
    <w:rsid w:val="00575750"/>
    <w:rsid w:val="005D0762"/>
    <w:rsid w:val="00624407"/>
    <w:rsid w:val="00634F4C"/>
    <w:rsid w:val="00657F1B"/>
    <w:rsid w:val="006721D6"/>
    <w:rsid w:val="006803BA"/>
    <w:rsid w:val="006A4ED2"/>
    <w:rsid w:val="0075076E"/>
    <w:rsid w:val="007B40A5"/>
    <w:rsid w:val="007B429F"/>
    <w:rsid w:val="007F23D1"/>
    <w:rsid w:val="00811095"/>
    <w:rsid w:val="008B2719"/>
    <w:rsid w:val="008C491D"/>
    <w:rsid w:val="008D47F0"/>
    <w:rsid w:val="008D695A"/>
    <w:rsid w:val="008E2A74"/>
    <w:rsid w:val="008F1F83"/>
    <w:rsid w:val="00912E96"/>
    <w:rsid w:val="00915A5E"/>
    <w:rsid w:val="0092024B"/>
    <w:rsid w:val="0092347C"/>
    <w:rsid w:val="0093423C"/>
    <w:rsid w:val="009677BD"/>
    <w:rsid w:val="009B19A7"/>
    <w:rsid w:val="009B70A2"/>
    <w:rsid w:val="00A447C1"/>
    <w:rsid w:val="00A77990"/>
    <w:rsid w:val="00A86483"/>
    <w:rsid w:val="00AA5B1C"/>
    <w:rsid w:val="00AD41F6"/>
    <w:rsid w:val="00AE1218"/>
    <w:rsid w:val="00AF1BD9"/>
    <w:rsid w:val="00B047B8"/>
    <w:rsid w:val="00B34A59"/>
    <w:rsid w:val="00B81A96"/>
    <w:rsid w:val="00BB7B47"/>
    <w:rsid w:val="00C01E40"/>
    <w:rsid w:val="00C37FB9"/>
    <w:rsid w:val="00C512A5"/>
    <w:rsid w:val="00C530D4"/>
    <w:rsid w:val="00C66DAD"/>
    <w:rsid w:val="00C969B8"/>
    <w:rsid w:val="00CA4E3D"/>
    <w:rsid w:val="00CA7DCC"/>
    <w:rsid w:val="00CD655D"/>
    <w:rsid w:val="00CD6B4A"/>
    <w:rsid w:val="00CE1077"/>
    <w:rsid w:val="00CE6A70"/>
    <w:rsid w:val="00CF32D1"/>
    <w:rsid w:val="00CF44DB"/>
    <w:rsid w:val="00D50BE4"/>
    <w:rsid w:val="00DF6D03"/>
    <w:rsid w:val="00E24289"/>
    <w:rsid w:val="00E32A42"/>
    <w:rsid w:val="00E860B4"/>
    <w:rsid w:val="00E86EDB"/>
    <w:rsid w:val="00EC7C96"/>
    <w:rsid w:val="00F05CC1"/>
    <w:rsid w:val="00F244B3"/>
    <w:rsid w:val="00F77B29"/>
    <w:rsid w:val="00FA482F"/>
    <w:rsid w:val="00FC137A"/>
    <w:rsid w:val="00FD1A94"/>
    <w:rsid w:val="3679E550"/>
    <w:rsid w:val="3CEC8AAB"/>
    <w:rsid w:val="3FFE4FAE"/>
    <w:rsid w:val="5B69A715"/>
    <w:rsid w:val="5B959309"/>
    <w:rsid w:val="5E1F4A71"/>
    <w:rsid w:val="5EFA76B8"/>
    <w:rsid w:val="5EFE2362"/>
    <w:rsid w:val="607DBF95"/>
    <w:rsid w:val="65FB5E7B"/>
    <w:rsid w:val="7A6E090E"/>
    <w:rsid w:val="7BFE85A6"/>
    <w:rsid w:val="7ED702FF"/>
    <w:rsid w:val="7F7CDEAC"/>
    <w:rsid w:val="9F9969C6"/>
    <w:rsid w:val="BFE897B7"/>
    <w:rsid w:val="DF6F2420"/>
    <w:rsid w:val="DFF12133"/>
    <w:rsid w:val="F3EFC5FA"/>
    <w:rsid w:val="FBD74C0C"/>
    <w:rsid w:val="FBEC5951"/>
    <w:rsid w:val="FDCF5CD1"/>
    <w:rsid w:val="FEFD2F5A"/>
    <w:rsid w:val="FFFB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Calibri" w:eastAsia="方正小标宋简体" w:cs="Times New Roman"/>
      <w:smallCaps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40" w:line="276" w:lineRule="auto"/>
    </w:pPr>
  </w:style>
  <w:style w:type="paragraph" w:styleId="7">
    <w:name w:val="Body Text First Indent"/>
    <w:basedOn w:val="6"/>
    <w:next w:val="1"/>
    <w:qFormat/>
    <w:uiPriority w:val="0"/>
    <w:pPr>
      <w:spacing w:after="0" w:line="500" w:lineRule="exact"/>
      <w:ind w:firstLine="420"/>
    </w:pPr>
    <w:rPr>
      <w:rFonts w:eastAsia="楷体_GB2312"/>
      <w:sz w:val="28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0"/>
    <w:rPr>
      <w:rFonts w:ascii="方正小标宋简体" w:hAnsi="Calibri" w:eastAsia="方正小标宋简体" w:cs="宋体"/>
      <w:b/>
      <w:bCs/>
      <w:smallCaps/>
      <w:kern w:val="44"/>
      <w:sz w:val="44"/>
      <w:szCs w:val="44"/>
    </w:rPr>
  </w:style>
  <w:style w:type="character" w:customStyle="1" w:styleId="15">
    <w:name w:val="页眉 Char"/>
    <w:basedOn w:val="12"/>
    <w:link w:val="10"/>
    <w:qFormat/>
    <w:uiPriority w:val="99"/>
    <w:rPr>
      <w:rFonts w:ascii="方正小标宋简体" w:hAnsi="Calibri" w:eastAsia="方正小标宋简体" w:cs="Times New Roman"/>
      <w:smallCaps/>
      <w:kern w:val="0"/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rFonts w:ascii="方正小标宋简体" w:hAnsi="Calibri" w:eastAsia="方正小标宋简体" w:cs="Times New Roman"/>
      <w:smallCaps/>
      <w:kern w:val="0"/>
      <w:sz w:val="18"/>
      <w:szCs w:val="18"/>
    </w:rPr>
  </w:style>
  <w:style w:type="character" w:customStyle="1" w:styleId="17">
    <w:name w:val="批注框文本 Char"/>
    <w:basedOn w:val="12"/>
    <w:link w:val="8"/>
    <w:semiHidden/>
    <w:qFormat/>
    <w:uiPriority w:val="99"/>
    <w:rPr>
      <w:rFonts w:ascii="方正小标宋简体" w:hAnsi="Calibri" w:eastAsia="方正小标宋简体"/>
      <w:smallCap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2024-12-27T11:39:00Z</dcterms:created>
  <dc:creator>pc</dc:creator>
  <cp:lastModifiedBy>user</cp:lastModifiedBy>
  <dcterms:modified xsi:type="dcterms:W3CDTF">2024-12-27T14:33:37Z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342F4797289012D2E852696758B29FD2_43</vt:lpwstr>
  </property>
</Properties>
</file>