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rPr>
          <w:color w:val="auto"/>
        </w:rPr>
      </w:pPr>
    </w:p>
    <w:p>
      <w:pPr>
        <w:keepNext w:val="0"/>
        <w:keepLines w:val="0"/>
        <w:pageBreakBefore w:val="0"/>
        <w:kinsoku/>
        <w:overflowPunct/>
        <w:topLinePunct w:val="0"/>
        <w:autoSpaceDE/>
        <w:autoSpaceDN/>
        <w:bidi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北京市海淀区市场监督管理局</w:t>
      </w:r>
    </w:p>
    <w:p>
      <w:pPr>
        <w:keepNext w:val="0"/>
        <w:keepLines w:val="0"/>
        <w:pageBreakBefore w:val="0"/>
        <w:kinsoku/>
        <w:overflowPunct/>
        <w:topLinePunct w:val="0"/>
        <w:autoSpaceDE/>
        <w:autoSpaceDN/>
        <w:bidi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持续优化营商环境赋能新质生产力发展</w:t>
      </w:r>
    </w:p>
    <w:p>
      <w:pPr>
        <w:keepNext w:val="0"/>
        <w:keepLines w:val="0"/>
        <w:pageBreakBefore w:val="0"/>
        <w:kinsoku/>
        <w:overflowPunct/>
        <w:topLinePunct w:val="0"/>
        <w:autoSpaceDE/>
        <w:autoSpaceDN/>
        <w:bidi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创优服务措施</w:t>
      </w:r>
    </w:p>
    <w:p>
      <w:pPr>
        <w:keepNext w:val="0"/>
        <w:keepLines w:val="0"/>
        <w:pageBreakBefore w:val="0"/>
        <w:kinsoku/>
        <w:overflowPunct/>
        <w:topLinePunct w:val="0"/>
        <w:autoSpaceDE/>
        <w:autoSpaceDN/>
        <w:bidi w:val="0"/>
        <w:spacing w:line="560" w:lineRule="exact"/>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征求意见</w:t>
      </w:r>
      <w:bookmarkStart w:id="0" w:name="_GoBack"/>
      <w:bookmarkEnd w:id="0"/>
      <w:r>
        <w:rPr>
          <w:rFonts w:hint="eastAsia" w:ascii="仿宋_GB2312" w:hAnsi="Calibri" w:eastAsia="仿宋_GB2312" w:cs="Times New Roman"/>
          <w:b w:val="0"/>
          <w:bCs w:val="0"/>
          <w:color w:val="auto"/>
          <w:kern w:val="2"/>
          <w:sz w:val="32"/>
          <w:szCs w:val="32"/>
          <w:lang w:val="en-US" w:eastAsia="zh-CN" w:bidi="ar-SA"/>
        </w:rPr>
        <w:t>稿</w:t>
      </w:r>
      <w:r>
        <w:rPr>
          <w:rFonts w:hint="eastAsia" w:ascii="仿宋_GB2312" w:eastAsia="仿宋_GB2312" w:cs="Times New Roman"/>
          <w:b w:val="0"/>
          <w:bCs w:val="0"/>
          <w:color w:val="auto"/>
          <w:kern w:val="2"/>
          <w:sz w:val="32"/>
          <w:szCs w:val="32"/>
          <w:lang w:val="en-US" w:eastAsia="zh-CN" w:bidi="ar-SA"/>
        </w:rPr>
        <w:t>）</w:t>
      </w:r>
    </w:p>
    <w:p>
      <w:pPr>
        <w:pStyle w:val="3"/>
        <w:keepNext w:val="0"/>
        <w:keepLines w:val="0"/>
        <w:pageBreakBefore w:val="0"/>
        <w:widowControl/>
        <w:kinsoku/>
        <w:overflowPunct/>
        <w:topLinePunct w:val="0"/>
        <w:autoSpaceDE/>
        <w:autoSpaceDN/>
        <w:bidi w:val="0"/>
        <w:spacing w:beforeAutospacing="0" w:afterAutospacing="0" w:line="560" w:lineRule="exact"/>
        <w:ind w:firstLine="640" w:firstLineChars="200"/>
        <w:jc w:val="both"/>
        <w:rPr>
          <w:rFonts w:ascii="仿宋_GB2312" w:hAnsi="Calibri" w:eastAsia="仿宋_GB2312"/>
          <w:b w:val="0"/>
          <w:bCs w:val="0"/>
          <w:color w:val="auto"/>
          <w:kern w:val="2"/>
          <w:sz w:val="32"/>
          <w:szCs w:val="32"/>
        </w:rPr>
      </w:pPr>
    </w:p>
    <w:p>
      <w:pPr>
        <w:pStyle w:val="3"/>
        <w:keepNext w:val="0"/>
        <w:keepLines w:val="0"/>
        <w:pageBreakBefore w:val="0"/>
        <w:widowControl/>
        <w:kinsoku/>
        <w:overflowPunct/>
        <w:topLinePunct w:val="0"/>
        <w:autoSpaceDE/>
        <w:autoSpaceDN/>
        <w:bidi w:val="0"/>
        <w:spacing w:beforeAutospacing="0" w:afterAutospacing="0" w:line="560" w:lineRule="exact"/>
        <w:ind w:firstLine="640" w:firstLineChars="200"/>
        <w:jc w:val="both"/>
        <w:rPr>
          <w:rFonts w:hint="default" w:ascii="仿宋_GB2312" w:hAnsi="Calibri" w:eastAsia="仿宋_GB2312"/>
          <w:b w:val="0"/>
          <w:bCs w:val="0"/>
          <w:color w:val="auto"/>
          <w:kern w:val="2"/>
          <w:sz w:val="32"/>
          <w:szCs w:val="32"/>
        </w:rPr>
      </w:pPr>
      <w:r>
        <w:rPr>
          <w:rFonts w:hint="eastAsia" w:ascii="仿宋_GB2312" w:hAnsi="Calibri" w:eastAsia="仿宋_GB2312"/>
          <w:b w:val="0"/>
          <w:bCs w:val="0"/>
          <w:color w:val="auto"/>
          <w:kern w:val="2"/>
          <w:sz w:val="32"/>
          <w:szCs w:val="32"/>
        </w:rPr>
        <w:t>为深入贯彻党中央、国务院关于全面优化营商环境决策部署和市委、市政府相关工作要求，落实海淀区《加快优化营商环境和创新生态服务高质量发展实施方案》</w:t>
      </w:r>
      <w:r>
        <w:rPr>
          <w:rFonts w:hint="eastAsia" w:ascii="仿宋_GB2312" w:hAnsi="Calibri" w:eastAsia="仿宋_GB2312"/>
          <w:b w:val="0"/>
          <w:bCs w:val="0"/>
          <w:color w:val="auto"/>
          <w:kern w:val="2"/>
          <w:sz w:val="32"/>
          <w:szCs w:val="32"/>
          <w:lang w:eastAsia="zh-CN"/>
        </w:rPr>
        <w:t>《</w:t>
      </w:r>
      <w:r>
        <w:rPr>
          <w:rFonts w:hint="eastAsia" w:ascii="仿宋_GB2312" w:hAnsi="Calibri" w:eastAsia="仿宋_GB2312"/>
          <w:b w:val="0"/>
          <w:bCs w:val="0"/>
          <w:color w:val="auto"/>
          <w:kern w:val="2"/>
          <w:sz w:val="32"/>
          <w:szCs w:val="32"/>
          <w:lang w:val="en-US" w:eastAsia="zh-CN"/>
        </w:rPr>
        <w:t>海淀区关于发展新质生产力、加快建设世界领先科技园区的实施方案（2024-2027)</w:t>
      </w:r>
      <w:r>
        <w:rPr>
          <w:rFonts w:hint="eastAsia" w:ascii="仿宋_GB2312" w:hAnsi="Calibri" w:eastAsia="仿宋_GB2312"/>
          <w:b w:val="0"/>
          <w:bCs w:val="0"/>
          <w:color w:val="auto"/>
          <w:kern w:val="2"/>
          <w:sz w:val="32"/>
          <w:szCs w:val="32"/>
        </w:rPr>
        <w:t>》，真正把全会提出的重要思想、重要观点、重大战略转化为市场监管领域的创优服务举措，践行“创新合伙人”服务理念，进一步激发市场主体发展活力和内生动力，加快发展新质生产力，以高效能市场监管助力经济社会高质量发展，制定如下服务举措。</w:t>
      </w:r>
    </w:p>
    <w:p>
      <w:pPr>
        <w:keepNext w:val="0"/>
        <w:keepLines w:val="0"/>
        <w:pageBreakBefore w:val="0"/>
        <w:kinsoku/>
        <w:overflowPunct/>
        <w:topLinePunct w:val="0"/>
        <w:autoSpaceDE/>
        <w:autoSpaceDN/>
        <w:bidi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一、营造宽松</w:t>
      </w:r>
      <w:r>
        <w:rPr>
          <w:rFonts w:hint="eastAsia" w:ascii="黑体" w:hAnsi="黑体" w:eastAsia="黑体" w:cs="黑体"/>
          <w:color w:val="auto"/>
          <w:sz w:val="32"/>
          <w:szCs w:val="32"/>
          <w:lang w:val="en-US" w:eastAsia="zh-CN"/>
        </w:rPr>
        <w:t>畅通</w:t>
      </w:r>
      <w:r>
        <w:rPr>
          <w:rFonts w:hint="eastAsia" w:ascii="黑体" w:hAnsi="黑体" w:eastAsia="黑体" w:cs="黑体"/>
          <w:color w:val="auto"/>
          <w:sz w:val="32"/>
          <w:szCs w:val="32"/>
        </w:rPr>
        <w:t>的发展环境</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1.强化“创新合伙人”服务理念，</w:t>
      </w:r>
      <w:r>
        <w:rPr>
          <w:rFonts w:hint="eastAsia" w:ascii="仿宋_GB2312" w:eastAsia="仿宋_GB2312"/>
          <w:color w:val="auto"/>
          <w:sz w:val="32"/>
          <w:szCs w:val="32"/>
        </w:rPr>
        <w:t>畅通政企沟通渠道。持续</w:t>
      </w:r>
      <w:r>
        <w:rPr>
          <w:rFonts w:hint="eastAsia" w:ascii="仿宋_GB2312" w:hAnsi="仿宋_GB2312" w:eastAsia="仿宋_GB2312" w:cs="仿宋_GB2312"/>
          <w:color w:val="auto"/>
          <w:sz w:val="32"/>
          <w:szCs w:val="32"/>
        </w:rPr>
        <w:t>深化“无处不在、无事不扰、无微不至、管服一体”服务模式，</w:t>
      </w:r>
      <w:r>
        <w:rPr>
          <w:rFonts w:hint="eastAsia" w:ascii="仿宋_GB2312" w:eastAsia="仿宋_GB2312"/>
          <w:color w:val="auto"/>
          <w:sz w:val="32"/>
          <w:szCs w:val="32"/>
        </w:rPr>
        <w:t>将</w:t>
      </w:r>
      <w:r>
        <w:rPr>
          <w:rFonts w:ascii="仿宋_GB2312" w:hAnsi="仿宋_GB2312" w:eastAsia="仿宋_GB2312" w:cs="仿宋_GB2312"/>
          <w:color w:val="auto"/>
          <w:sz w:val="32"/>
          <w:szCs w:val="32"/>
        </w:rPr>
        <w:t>“创新合伙人”服务</w:t>
      </w:r>
      <w:r>
        <w:rPr>
          <w:rFonts w:hint="eastAsia" w:ascii="仿宋_GB2312" w:hAnsi="仿宋_GB2312" w:eastAsia="仿宋_GB2312" w:cs="仿宋_GB2312"/>
          <w:color w:val="auto"/>
          <w:sz w:val="32"/>
          <w:szCs w:val="32"/>
        </w:rPr>
        <w:t>触角延伸至产业园区和重点楼宇，</w:t>
      </w:r>
      <w:r>
        <w:rPr>
          <w:rFonts w:ascii="仿宋_GB2312" w:hAnsi="仿宋_GB2312" w:eastAsia="仿宋_GB2312" w:cs="仿宋_GB2312"/>
          <w:color w:val="auto"/>
          <w:sz w:val="32"/>
          <w:szCs w:val="32"/>
        </w:rPr>
        <w:t>以点带面辐射周边企业</w:t>
      </w:r>
      <w:r>
        <w:rPr>
          <w:rFonts w:hint="eastAsia" w:ascii="仿宋_GB2312" w:hAnsi="仿宋_GB2312" w:eastAsia="仿宋_GB2312" w:cs="仿宋_GB2312"/>
          <w:color w:val="auto"/>
          <w:sz w:val="32"/>
          <w:szCs w:val="32"/>
        </w:rPr>
        <w:t>，进一步增强企业驻区发展粘性，以优质服务护航企业高质量发展。</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主责部门：服务办</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配合部门：局属各部门</w:t>
      </w:r>
    </w:p>
    <w:p>
      <w:pPr>
        <w:keepNext w:val="0"/>
        <w:keepLines w:val="0"/>
        <w:pageBreakBefore w:val="0"/>
        <w:numPr>
          <w:ilvl w:val="-1"/>
          <w:numId w:val="0"/>
        </w:numPr>
        <w:kinsoku/>
        <w:overflowPunct/>
        <w:topLinePunct w:val="0"/>
        <w:autoSpaceDE/>
        <w:autoSpaceDN/>
        <w:bidi w:val="0"/>
        <w:spacing w:line="560" w:lineRule="exact"/>
        <w:ind w:firstLine="640" w:firstLineChars="200"/>
        <w:rPr>
          <w:rFonts w:hint="default" w:hAnsi="宋体" w:eastAsia="仿宋_GB2312"/>
          <w:color w:val="auto"/>
          <w:sz w:val="32"/>
          <w:szCs w:val="20"/>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探索产业链融通发展模式。</w:t>
      </w:r>
      <w:r>
        <w:rPr>
          <w:rFonts w:hint="eastAsia" w:ascii="仿宋_GB2312" w:hAnsi="仿宋_GB2312" w:eastAsia="仿宋_GB2312" w:cs="仿宋_GB2312"/>
          <w:color w:val="auto"/>
          <w:sz w:val="32"/>
          <w:szCs w:val="32"/>
          <w:lang w:val="en-US" w:eastAsia="zh-CN"/>
        </w:rPr>
        <w:t>助力</w:t>
      </w:r>
      <w:r>
        <w:rPr>
          <w:rFonts w:hint="eastAsia" w:ascii="仿宋_GB2312" w:hAnsi="仿宋_GB2312" w:eastAsia="仿宋_GB2312" w:cs="仿宋_GB2312"/>
          <w:color w:val="auto"/>
          <w:sz w:val="32"/>
          <w:szCs w:val="32"/>
          <w:lang w:bidi="ar"/>
        </w:rPr>
        <w:t>企业用好用活惠企政策</w:t>
      </w:r>
      <w:r>
        <w:rPr>
          <w:rFonts w:hint="eastAsia" w:ascii="仿宋_GB2312" w:hAnsi="仿宋_GB2312" w:eastAsia="仿宋_GB2312" w:cs="仿宋_GB2312"/>
          <w:color w:val="auto"/>
          <w:sz w:val="32"/>
          <w:szCs w:val="32"/>
          <w:lang w:eastAsia="zh-CN" w:bidi="ar"/>
        </w:rPr>
        <w:t>，</w:t>
      </w:r>
      <w:r>
        <w:rPr>
          <w:rFonts w:hint="eastAsia" w:hAnsi="宋体" w:eastAsia="仿宋_GB2312"/>
          <w:color w:val="auto"/>
          <w:sz w:val="32"/>
          <w:szCs w:val="20"/>
          <w:lang w:val="en-US" w:eastAsia="zh-CN"/>
        </w:rPr>
        <w:t>结合</w:t>
      </w:r>
      <w:r>
        <w:rPr>
          <w:rFonts w:hint="eastAsia" w:hAnsi="宋体" w:eastAsia="仿宋_GB2312"/>
          <w:color w:val="auto"/>
          <w:sz w:val="32"/>
          <w:szCs w:val="20"/>
        </w:rPr>
        <w:t>我区重点企业配套需求，‘以大带小、以小托大’，</w:t>
      </w:r>
      <w:r>
        <w:rPr>
          <w:rFonts w:hint="eastAsia" w:hAnsi="宋体" w:eastAsia="仿宋_GB2312"/>
          <w:color w:val="auto"/>
          <w:sz w:val="32"/>
          <w:szCs w:val="20"/>
          <w:lang w:val="en-US" w:eastAsia="zh-CN"/>
        </w:rPr>
        <w:t>通过多种形式搭建桥梁纽带，引导</w:t>
      </w:r>
      <w:r>
        <w:rPr>
          <w:rFonts w:hint="eastAsia" w:hAnsi="宋体" w:eastAsia="仿宋_GB2312"/>
          <w:color w:val="auto"/>
          <w:sz w:val="32"/>
          <w:szCs w:val="20"/>
        </w:rPr>
        <w:t>中小微企业精准补链</w:t>
      </w:r>
      <w:r>
        <w:rPr>
          <w:rFonts w:hint="eastAsia" w:hAnsi="宋体" w:eastAsia="仿宋_GB2312"/>
          <w:color w:val="auto"/>
          <w:sz w:val="32"/>
          <w:szCs w:val="20"/>
          <w:lang w:eastAsia="zh-CN"/>
        </w:rPr>
        <w:t>；</w:t>
      </w:r>
      <w:r>
        <w:rPr>
          <w:rFonts w:hint="eastAsia" w:hAnsi="宋体" w:eastAsia="仿宋_GB2312"/>
          <w:color w:val="auto"/>
          <w:sz w:val="32"/>
          <w:szCs w:val="20"/>
          <w:lang w:val="en-US" w:eastAsia="zh-CN"/>
        </w:rPr>
        <w:t>通过海淀区民营企业家论坛</w:t>
      </w:r>
      <w:r>
        <w:rPr>
          <w:rFonts w:hint="eastAsia" w:ascii="仿宋_GB2312" w:hAnsi="仿宋_GB2312" w:eastAsia="仿宋_GB2312" w:cs="仿宋_GB2312"/>
          <w:color w:val="auto"/>
          <w:sz w:val="32"/>
          <w:szCs w:val="32"/>
          <w:lang w:bidi="ar"/>
        </w:rPr>
        <w:t>深化互学共鉴、互促互进，</w:t>
      </w:r>
      <w:r>
        <w:rPr>
          <w:rFonts w:hint="eastAsia" w:hAnsi="宋体" w:eastAsia="仿宋_GB2312"/>
          <w:color w:val="auto"/>
          <w:sz w:val="32"/>
          <w:szCs w:val="20"/>
        </w:rPr>
        <w:t>打造一批可复制的典型模式。</w:t>
      </w:r>
    </w:p>
    <w:p>
      <w:pPr>
        <w:keepNext w:val="0"/>
        <w:keepLines w:val="0"/>
        <w:pageBreakBefore w:val="0"/>
        <w:kinsoku/>
        <w:overflowPunct/>
        <w:topLinePunct w:val="0"/>
        <w:autoSpaceDE/>
        <w:autoSpaceDN/>
        <w:bidi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主责部门：服务办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私个中心</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配合部门：局属各部门</w:t>
      </w:r>
    </w:p>
    <w:p>
      <w:pPr>
        <w:pStyle w:val="15"/>
        <w:keepNext w:val="0"/>
        <w:keepLines w:val="0"/>
        <w:pageBreakBefore w:val="0"/>
        <w:numPr>
          <w:ilvl w:val="0"/>
          <w:numId w:val="0"/>
        </w:numPr>
        <w:kinsoku/>
        <w:overflowPunct/>
        <w:topLinePunct w:val="0"/>
        <w:autoSpaceDE/>
        <w:autoSpaceDN/>
        <w:bidi w:val="0"/>
        <w:spacing w:line="560" w:lineRule="exact"/>
        <w:ind w:firstLine="640" w:firstLineChars="200"/>
        <w:rPr>
          <w:rFonts w:hint="eastAsia"/>
        </w:rPr>
      </w:pP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rPr>
        <w:t>强化知识产权全链条保护。提升知识产权纠纷多元解决、协同保护能力，高水平建设国家知识产权保护示范区。优化知识产权服务，</w:t>
      </w:r>
      <w:r>
        <w:rPr>
          <w:rFonts w:hint="eastAsia" w:ascii="仿宋_GB2312" w:hAnsi="仿宋_GB2312" w:eastAsia="仿宋_GB2312" w:cs="仿宋_GB2312"/>
          <w:color w:val="auto"/>
          <w:kern w:val="2"/>
          <w:sz w:val="32"/>
          <w:szCs w:val="32"/>
          <w:lang w:val="en-US" w:eastAsia="zh-CN"/>
        </w:rPr>
        <w:t>促进知识产权服务业的高质量发展。</w:t>
      </w:r>
      <w:r>
        <w:rPr>
          <w:rFonts w:hint="eastAsia" w:ascii="仿宋_GB2312" w:hAnsi="仿宋_GB2312" w:eastAsia="仿宋_GB2312" w:cs="仿宋_GB2312"/>
          <w:color w:val="auto"/>
          <w:kern w:val="2"/>
          <w:sz w:val="32"/>
          <w:szCs w:val="32"/>
        </w:rPr>
        <w:t>持续加强中关村知识产权保护中心、中关村国际知识产权服务大厅建设，拓展“2+N”知识产权公共服务布局。加强重点产业专利预审服务，推进知识产权高质量创造和转化运用。</w:t>
      </w:r>
    </w:p>
    <w:p>
      <w:pPr>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主责部门：知识产权科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商标科、</w:t>
      </w:r>
      <w:r>
        <w:rPr>
          <w:rFonts w:hint="eastAsia" w:ascii="仿宋_GB2312" w:hAnsi="仿宋_GB2312" w:eastAsia="仿宋_GB2312" w:cs="仿宋_GB2312"/>
          <w:color w:val="auto"/>
          <w:sz w:val="32"/>
          <w:szCs w:val="32"/>
        </w:rPr>
        <w:t>中关村知识产权保护中心</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sz w:val="32"/>
          <w:szCs w:val="32"/>
        </w:rPr>
        <w:t>配合部门：公平竞争科、执法十二队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服务办、法制科、信用科、宣传科、</w:t>
      </w:r>
      <w:r>
        <w:rPr>
          <w:rFonts w:hint="eastAsia" w:ascii="仿宋_GB2312" w:hAnsi="仿宋_GB2312" w:eastAsia="仿宋_GB2312" w:cs="仿宋_GB2312"/>
          <w:color w:val="auto"/>
          <w:sz w:val="32"/>
          <w:szCs w:val="32"/>
          <w:lang w:eastAsia="zh-CN"/>
        </w:rPr>
        <w:t>各市场监管所</w:t>
      </w:r>
    </w:p>
    <w:p>
      <w:pPr>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促进广告业高质量发展。</w:t>
      </w:r>
      <w:r>
        <w:rPr>
          <w:rFonts w:hint="eastAsia" w:ascii="仿宋_GB2312" w:hAnsi="仿宋_GB2312" w:eastAsia="仿宋_GB2312" w:cs="仿宋_GB2312"/>
          <w:color w:val="auto"/>
          <w:sz w:val="32"/>
          <w:szCs w:val="32"/>
        </w:rPr>
        <w:t>协同街镇、依托财务管理公司</w:t>
      </w:r>
      <w:r>
        <w:rPr>
          <w:rFonts w:hint="eastAsia" w:ascii="仿宋_GB2312" w:hAnsi="仿宋_GB2312" w:eastAsia="仿宋_GB2312" w:cs="仿宋_GB2312"/>
          <w:color w:val="auto"/>
          <w:sz w:val="32"/>
          <w:szCs w:val="32"/>
          <w:lang w:val="en-US" w:eastAsia="zh-CN"/>
        </w:rPr>
        <w:t>建设数字广告园区</w:t>
      </w:r>
      <w:r>
        <w:rPr>
          <w:rFonts w:hint="eastAsia" w:ascii="仿宋_GB2312" w:hAnsi="仿宋_GB2312" w:eastAsia="仿宋_GB2312" w:cs="仿宋_GB2312"/>
          <w:color w:val="auto"/>
          <w:sz w:val="32"/>
          <w:szCs w:val="32"/>
        </w:rPr>
        <w:t>，发动抖音、快手、百度等头部平台企业积极参与，吸引下游合作广告公司入驻，</w:t>
      </w:r>
      <w:r>
        <w:rPr>
          <w:rFonts w:hint="eastAsia" w:ascii="仿宋_GB2312" w:hAnsi="仿宋_GB2312" w:eastAsia="仿宋_GB2312" w:cs="仿宋_GB2312"/>
          <w:sz w:val="32"/>
          <w:szCs w:val="32"/>
        </w:rPr>
        <w:t>打造平台引领带动、产业链上下游资源共享、相关产业协同发展的数字广告产业生态</w:t>
      </w:r>
      <w:r>
        <w:rPr>
          <w:rFonts w:hint="eastAsia" w:ascii="仿宋_GB2312" w:hAnsi="仿宋_GB2312" w:eastAsia="仿宋_GB2312" w:cs="仿宋_GB2312"/>
          <w:color w:val="auto"/>
          <w:sz w:val="32"/>
          <w:szCs w:val="32"/>
        </w:rPr>
        <w:t>，助力中小广告企业数字化转型发展。加强药品、医疗、保健食品、旅游、教育培训等重点民生</w:t>
      </w:r>
      <w:r>
        <w:rPr>
          <w:rFonts w:hint="eastAsia" w:ascii="仿宋_GB2312" w:hAnsi="仿宋_GB2312" w:eastAsia="仿宋_GB2312" w:cs="仿宋_GB2312"/>
          <w:color w:val="auto"/>
          <w:sz w:val="32"/>
          <w:szCs w:val="32"/>
          <w:lang w:val="en-US" w:eastAsia="zh-CN"/>
        </w:rPr>
        <w:t>领域</w:t>
      </w:r>
      <w:r>
        <w:rPr>
          <w:rFonts w:hint="eastAsia" w:ascii="仿宋_GB2312" w:hAnsi="仿宋_GB2312" w:eastAsia="仿宋_GB2312" w:cs="仿宋_GB2312"/>
          <w:color w:val="auto"/>
          <w:sz w:val="32"/>
          <w:szCs w:val="32"/>
        </w:rPr>
        <w:t>商品和服务广告发布指导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shd w:val="clear" w:color="auto" w:fill="FFFFFF"/>
        </w:rPr>
        <w:t>优化营商环境，净化市场秩序</w:t>
      </w:r>
      <w:r>
        <w:rPr>
          <w:rFonts w:hint="eastAsia" w:ascii="仿宋_GB2312" w:hAnsi="仿宋_GB2312" w:eastAsia="仿宋_GB2312" w:cs="仿宋_GB2312"/>
          <w:color w:val="auto"/>
          <w:sz w:val="32"/>
          <w:szCs w:val="32"/>
          <w:shd w:val="clear" w:color="auto" w:fill="FFFFFF"/>
          <w:lang w:eastAsia="zh-CN"/>
        </w:rPr>
        <w:t>。</w:t>
      </w:r>
    </w:p>
    <w:p>
      <w:pPr>
        <w:pStyle w:val="14"/>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主责部门：广告科</w:t>
      </w:r>
    </w:p>
    <w:p>
      <w:pPr>
        <w:keepNext w:val="0"/>
        <w:keepLines w:val="0"/>
        <w:pageBreakBefore w:val="0"/>
        <w:kinsoku/>
        <w:overflowPunct/>
        <w:topLinePunct w:val="0"/>
        <w:autoSpaceDE/>
        <w:autoSpaceDN/>
        <w:bidi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配合部门：</w:t>
      </w:r>
      <w:r>
        <w:rPr>
          <w:rFonts w:hint="eastAsia" w:ascii="仿宋_GB2312" w:hAnsi="仿宋_GB2312" w:eastAsia="仿宋_GB2312" w:cs="仿宋_GB2312"/>
          <w:color w:val="auto"/>
          <w:sz w:val="32"/>
          <w:szCs w:val="32"/>
          <w:lang w:val="en-US" w:eastAsia="zh-CN"/>
        </w:rPr>
        <w:t>网监科、服务办</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.标准化引领创新发展。开展海淀区标准创新发展专项资金项目</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，鼓励企业、社会团体积极参与标准制定、标准化试点示范等标准创新活动。开展团体标准综合绩效评价、标准创新型企业梯度培育工作，实施企业标准“领跑者”制度，促进提升市场主体竞争实力。</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主责部门：标准化科</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.深化拓展网络市场治理制度举措，持续发挥引领示范作用，开展深化巩固全国网络市场监管与服务示范区建设成效工作，制定</w:t>
      </w:r>
      <w:r>
        <w:rPr>
          <w:rFonts w:hint="eastAsia" w:ascii="仿宋_GB2312" w:hAnsi="仿宋_GB2312" w:eastAsia="仿宋_GB2312" w:cs="仿宋_GB2312"/>
          <w:color w:val="auto"/>
          <w:sz w:val="32"/>
          <w:szCs w:val="32"/>
          <w:lang w:eastAsia="zh-CN"/>
        </w:rPr>
        <w:t>海淀区《</w:t>
      </w:r>
      <w:r>
        <w:rPr>
          <w:rFonts w:hint="eastAsia" w:ascii="仿宋_GB2312" w:hAnsi="仿宋_GB2312" w:eastAsia="仿宋_GB2312" w:cs="仿宋_GB2312"/>
          <w:color w:val="auto"/>
          <w:sz w:val="32"/>
          <w:szCs w:val="32"/>
        </w:rPr>
        <w:t>网络交易经营重点领域负面清单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促进平台经济有序竞争创新发展。</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主责部门：网监科</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配合部门：广告科、消保科、标准化科、执法一队、执法八队、执法十队、执法十五队</w:t>
      </w:r>
    </w:p>
    <w:p>
      <w:pPr>
        <w:keepNext w:val="0"/>
        <w:keepLines w:val="0"/>
        <w:pageBreakBefore w:val="0"/>
        <w:kinsoku/>
        <w:overflowPunct/>
        <w:topLinePunct w:val="0"/>
        <w:autoSpaceDE/>
        <w:autoSpaceDN/>
        <w:bidi w:val="0"/>
        <w:adjustRightIn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.提升个体工商户发展质量。落实北京市市场监督管理局等15部门《关于印发北京市开展个体工商户分型分类精准帮扶工作方案（试行）的通知》（</w:t>
      </w:r>
      <w:r>
        <w:rPr>
          <w:rFonts w:ascii="仿宋_GB2312" w:eastAsia="仿宋_GB2312"/>
          <w:color w:val="auto"/>
          <w:sz w:val="32"/>
          <w:lang w:val="en"/>
        </w:rPr>
        <w:t>京市监发〔2024〕61号</w:t>
      </w:r>
      <w:r>
        <w:rPr>
          <w:rFonts w:hint="eastAsia" w:ascii="仿宋_GB2312" w:hAnsi="仿宋_GB2312" w:eastAsia="仿宋_GB2312" w:cs="仿宋_GB2312"/>
          <w:color w:val="auto"/>
          <w:sz w:val="32"/>
          <w:szCs w:val="32"/>
        </w:rPr>
        <w:t>），推动北京市海淀区个体工商户分型分类培育工作，提升个体工商户总体发展质量，鼓励个体工商户申请“名特优新”，发挥引领示范作用。</w:t>
      </w:r>
    </w:p>
    <w:p>
      <w:pPr>
        <w:keepNext w:val="0"/>
        <w:keepLines w:val="0"/>
        <w:pageBreakBefore w:val="0"/>
        <w:kinsoku/>
        <w:overflowPunct/>
        <w:topLinePunct w:val="0"/>
        <w:autoSpaceDE/>
        <w:autoSpaceDN/>
        <w:bidi w:val="0"/>
        <w:adjustRightIn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主责</w:t>
      </w:r>
      <w:r>
        <w:rPr>
          <w:rFonts w:ascii="仿宋_GB2312" w:hAnsi="仿宋_GB2312" w:eastAsia="仿宋_GB2312" w:cs="仿宋_GB2312"/>
          <w:color w:val="auto"/>
          <w:sz w:val="32"/>
          <w:szCs w:val="32"/>
        </w:rPr>
        <w:t>部门：登记科</w:t>
      </w:r>
    </w:p>
    <w:p>
      <w:pPr>
        <w:keepNext w:val="0"/>
        <w:keepLines w:val="0"/>
        <w:pageBreakBefore w:val="0"/>
        <w:kinsoku/>
        <w:overflowPunct/>
        <w:topLinePunct w:val="0"/>
        <w:autoSpaceDE/>
        <w:autoSpaceDN/>
        <w:bidi w:val="0"/>
        <w:adjustRightInd w:val="0"/>
        <w:spacing w:line="560" w:lineRule="exact"/>
        <w:ind w:firstLine="640" w:firstLineChars="200"/>
        <w:rPr>
          <w:rFonts w:eastAsia="仿宋_GB2312"/>
          <w:color w:val="auto"/>
        </w:rPr>
      </w:pPr>
      <w:r>
        <w:rPr>
          <w:rFonts w:hint="eastAsia" w:ascii="仿宋_GB2312" w:hAnsi="仿宋_GB2312" w:eastAsia="仿宋_GB2312" w:cs="仿宋_GB2312"/>
          <w:color w:val="auto"/>
          <w:sz w:val="32"/>
          <w:szCs w:val="32"/>
        </w:rPr>
        <w:t>配合</w:t>
      </w:r>
      <w:r>
        <w:rPr>
          <w:rFonts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rPr>
        <w:t>私个中心、餐饮科、产品科、法制科、广告科、计量科、企监科、商标科、食品流通科、网监科、政务服务中心、知识产权科、执法八队、执法十队、中关村知识产权保护中心</w:t>
      </w:r>
    </w:p>
    <w:p>
      <w:pPr>
        <w:keepNext w:val="0"/>
        <w:keepLines w:val="0"/>
        <w:pageBreakBefore w:val="0"/>
        <w:numPr>
          <w:ilvl w:val="255"/>
          <w:numId w:val="0"/>
        </w:numPr>
        <w:kinsoku/>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进一步加强质量基础设施建设，发挥质量基础设施服务效能。聚焦人工智能、大数据等重点领域不断完善质量基础设施“一站式”服务平台服务流程，拓宽服务内容，努力为企业提供全链条、全方位、全过程的质量基础设施综合服务，促进中小微企业质量升级。</w:t>
      </w:r>
    </w:p>
    <w:p>
      <w:pPr>
        <w:keepNext w:val="0"/>
        <w:keepLines w:val="0"/>
        <w:pageBreakBefore w:val="0"/>
        <w:numPr>
          <w:ilvl w:val="255"/>
          <w:numId w:val="0"/>
        </w:numPr>
        <w:kinsoku/>
        <w:overflowPunct/>
        <w:topLinePunct w:val="0"/>
        <w:autoSpaceDE/>
        <w:autoSpaceDN/>
        <w:bidi w:val="0"/>
        <w:spacing w:line="560" w:lineRule="exact"/>
        <w:ind w:left="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主责部门：质量发展科</w:t>
      </w:r>
    </w:p>
    <w:p>
      <w:pPr>
        <w:keepNext w:val="0"/>
        <w:keepLines w:val="0"/>
        <w:pageBreakBefore w:val="0"/>
        <w:numPr>
          <w:ilvl w:val="255"/>
          <w:numId w:val="0"/>
        </w:numPr>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val="en-US" w:eastAsia="zh-CN" w:bidi="ar"/>
        </w:rPr>
        <w:t>9</w:t>
      </w:r>
      <w:r>
        <w:rPr>
          <w:rFonts w:hint="eastAsia" w:ascii="仿宋_GB2312" w:hAnsi="仿宋_GB2312" w:eastAsia="仿宋_GB2312" w:cs="仿宋_GB2312"/>
          <w:color w:val="auto"/>
          <w:sz w:val="32"/>
          <w:szCs w:val="32"/>
          <w:lang w:bidi="ar"/>
        </w:rPr>
        <w:t>.深化全国商业秘密保护创新试点地区建设，打造海淀特色的商业秘密保护品牌。加强重点行业领域需求调研，聚合服务资源，创新活动形式，推动人工智能、生物制药、智能制造等行业领域各类创新主体积极开展商业秘密保护工作。</w:t>
      </w:r>
    </w:p>
    <w:p>
      <w:pPr>
        <w:keepNext w:val="0"/>
        <w:keepLines w:val="0"/>
        <w:pageBreakBefore w:val="0"/>
        <w:numPr>
          <w:ilvl w:val="255"/>
          <w:numId w:val="0"/>
        </w:numPr>
        <w:kinsoku/>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主责部门：公平竞争科</w:t>
      </w:r>
    </w:p>
    <w:p>
      <w:pPr>
        <w:keepNext w:val="0"/>
        <w:keepLines w:val="0"/>
        <w:pageBreakBefore w:val="0"/>
        <w:numPr>
          <w:ilvl w:val="0"/>
          <w:numId w:val="1"/>
        </w:numPr>
        <w:kinsoku/>
        <w:overflowPunct/>
        <w:topLinePunct w:val="0"/>
        <w:autoSpaceDE/>
        <w:autoSpaceDN/>
        <w:bidi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营造</w:t>
      </w:r>
      <w:r>
        <w:rPr>
          <w:rFonts w:hint="eastAsia" w:ascii="黑体" w:hAnsi="黑体" w:eastAsia="黑体" w:cs="黑体"/>
          <w:color w:val="auto"/>
          <w:sz w:val="32"/>
          <w:szCs w:val="32"/>
          <w:lang w:val="en-US" w:eastAsia="zh-CN"/>
        </w:rPr>
        <w:t>便利</w:t>
      </w:r>
      <w:r>
        <w:rPr>
          <w:rFonts w:hint="eastAsia" w:ascii="黑体" w:hAnsi="黑体" w:eastAsia="黑体" w:cs="黑体"/>
          <w:color w:val="auto"/>
          <w:sz w:val="32"/>
          <w:szCs w:val="32"/>
        </w:rPr>
        <w:t>惠企的政务环境</w:t>
      </w:r>
    </w:p>
    <w:p>
      <w:pPr>
        <w:keepNext w:val="0"/>
        <w:keepLines w:val="0"/>
        <w:pageBreakBefore w:val="0"/>
        <w:numPr>
          <w:ilvl w:val="255"/>
          <w:numId w:val="0"/>
        </w:numPr>
        <w:kinsoku/>
        <w:overflowPunct/>
        <w:topLinePunct w:val="0"/>
        <w:autoSpaceDE/>
        <w:autoSpaceDN/>
        <w:bidi w:val="0"/>
        <w:adjustRightIn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深化“一件事”集成服务改革。通过流程梳理和集成告知，将营业执照、食品生产、食品经营、特种设备生产单位许可等市场监管领域准入准营的“单项事”整合为企业和群众视角的“一件事”，推动更多事项纳入集成服务，强化系统集成、业务协同和数据共享，完善办事流程、办事指南、政策解读等指引，实现集成办事“一网办理”“一站办理”更顺畅。</w:t>
      </w:r>
    </w:p>
    <w:p>
      <w:pPr>
        <w:keepNext w:val="0"/>
        <w:keepLines w:val="0"/>
        <w:pageBreakBefore w:val="0"/>
        <w:kinsoku/>
        <w:overflowPunct/>
        <w:topLinePunct w:val="0"/>
        <w:autoSpaceDE/>
        <w:autoSpaceDN/>
        <w:bidi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主责部门：服务办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政务服务中心</w:t>
      </w:r>
    </w:p>
    <w:p>
      <w:pPr>
        <w:keepNext w:val="0"/>
        <w:keepLines w:val="0"/>
        <w:pageBreakBefore w:val="0"/>
        <w:kinsoku/>
        <w:overflowPunct/>
        <w:topLinePunct w:val="0"/>
        <w:autoSpaceDE/>
        <w:autoSpaceDN/>
        <w:bidi w:val="0"/>
        <w:spacing w:line="560" w:lineRule="exact"/>
        <w:ind w:firstLine="640" w:firstLineChars="200"/>
        <w:rPr>
          <w:color w:val="auto"/>
        </w:rPr>
      </w:pPr>
      <w:r>
        <w:rPr>
          <w:rFonts w:hint="eastAsia" w:ascii="仿宋_GB2312" w:hAnsi="仿宋_GB2312" w:eastAsia="仿宋_GB2312" w:cs="仿宋_GB2312"/>
          <w:color w:val="auto"/>
          <w:sz w:val="32"/>
          <w:szCs w:val="32"/>
        </w:rPr>
        <w:t>配合部门：登记科、餐饮科、食品流通科、药械流通科、医疗器械科、</w:t>
      </w:r>
      <w:r>
        <w:rPr>
          <w:rFonts w:hint="eastAsia" w:ascii="仿宋_GB2312" w:hAnsi="仿宋_GB2312" w:eastAsia="仿宋_GB2312" w:cs="仿宋_GB2312"/>
          <w:color w:val="auto"/>
          <w:sz w:val="32"/>
          <w:szCs w:val="32"/>
          <w:lang w:val="en-US" w:eastAsia="zh-CN"/>
        </w:rPr>
        <w:t>特设科</w:t>
      </w:r>
      <w:r>
        <w:rPr>
          <w:rFonts w:hint="eastAsia" w:ascii="仿宋_GB2312" w:hAnsi="仿宋_GB2312" w:eastAsia="仿宋_GB2312" w:cs="仿宋_GB2312"/>
          <w:color w:val="auto"/>
          <w:sz w:val="32"/>
          <w:szCs w:val="32"/>
        </w:rPr>
        <w:t>等准入许可部门</w:t>
      </w:r>
    </w:p>
    <w:p>
      <w:pPr>
        <w:keepNext w:val="0"/>
        <w:keepLines w:val="0"/>
        <w:pageBreakBefore w:val="0"/>
        <w:numPr>
          <w:ilvl w:val="255"/>
          <w:numId w:val="0"/>
        </w:numPr>
        <w:kinsoku/>
        <w:overflowPunct/>
        <w:topLinePunct w:val="0"/>
        <w:autoSpaceDE/>
        <w:autoSpaceDN/>
        <w:bidi w:val="0"/>
        <w:adjustRightInd w:val="0"/>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依托“e窗通”平台，推出人工智能产业等体现我区特色的经营范围用语套餐，供经营主体参考点选。兼顾经营范围规范化登记和个性化展示需求，探索将经营范围自主公示试点范围进一步扩大至海淀区特色未来产业，经营主体可通过点选经营范围规范条目项下的特色经营活动进行精确化、个性化展示。</w:t>
      </w:r>
    </w:p>
    <w:p>
      <w:pPr>
        <w:keepNext w:val="0"/>
        <w:keepLines w:val="0"/>
        <w:pageBreakBefore w:val="0"/>
        <w:kinsoku/>
        <w:overflowPunct/>
        <w:topLinePunct w:val="0"/>
        <w:autoSpaceDE/>
        <w:autoSpaceDN/>
        <w:bidi w:val="0"/>
        <w:adjustRightIn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主责部门：登记科</w:t>
      </w:r>
    </w:p>
    <w:p>
      <w:pPr>
        <w:keepNext w:val="0"/>
        <w:keepLines w:val="0"/>
        <w:pageBreakBefore w:val="0"/>
        <w:numPr>
          <w:ilvl w:val="255"/>
          <w:numId w:val="0"/>
        </w:numPr>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配合部门：各市场监管所</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.继续扩大纳入住所标准化数据库的产权人和房产数量，进一步扩大政策受惠面。争取将住所标准化登记措施在全市复制推广，并将适用范围拓展至地址变更领域及线下办理渠道，扩大惠及企业范围。</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主责部门：登记科</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配合部门：各市场监管所</w:t>
      </w:r>
    </w:p>
    <w:p>
      <w:pPr>
        <w:keepNext w:val="0"/>
        <w:keepLines w:val="0"/>
        <w:pageBreakBefore w:val="0"/>
        <w:kinsoku/>
        <w:overflowPunct/>
        <w:topLinePunct w:val="0"/>
        <w:autoSpaceDE/>
        <w:autoSpaceDN/>
        <w:bidi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.持续扩大食品经营许可“云核查”范围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针对</w:t>
      </w:r>
      <w:r>
        <w:rPr>
          <w:rFonts w:hint="eastAsia" w:ascii="仿宋_GB2312" w:hAnsi="仿宋_GB2312" w:eastAsia="仿宋_GB2312" w:cs="仿宋_GB2312"/>
          <w:color w:val="auto"/>
          <w:sz w:val="32"/>
          <w:szCs w:val="32"/>
        </w:rPr>
        <w:t>食品销售经营者业态，</w:t>
      </w:r>
      <w:r>
        <w:rPr>
          <w:rFonts w:hint="eastAsia" w:ascii="仿宋_GB2312" w:hAnsi="仿宋_GB2312" w:eastAsia="仿宋_GB2312" w:cs="仿宋_GB2312"/>
          <w:color w:val="auto"/>
          <w:sz w:val="32"/>
          <w:szCs w:val="32"/>
          <w:lang w:eastAsia="zh-CN"/>
        </w:rPr>
        <w:t>将连锁企业制售类许可</w:t>
      </w:r>
      <w:r>
        <w:rPr>
          <w:rFonts w:hint="eastAsia" w:ascii="仿宋_GB2312" w:hAnsi="仿宋_GB2312" w:eastAsia="仿宋_GB2312" w:cs="仿宋_GB2312"/>
          <w:color w:val="auto"/>
          <w:sz w:val="32"/>
          <w:szCs w:val="32"/>
          <w:lang w:val="en-US" w:eastAsia="zh-CN"/>
        </w:rPr>
        <w:t>审核</w:t>
      </w:r>
      <w:r>
        <w:rPr>
          <w:rFonts w:hint="eastAsia" w:ascii="仿宋_GB2312" w:hAnsi="仿宋_GB2312" w:eastAsia="仿宋_GB2312" w:cs="仿宋_GB2312"/>
          <w:color w:val="auto"/>
          <w:sz w:val="32"/>
          <w:szCs w:val="32"/>
          <w:lang w:eastAsia="zh-CN"/>
        </w:rPr>
        <w:t>纳入“云核查”范</w:t>
      </w:r>
      <w:r>
        <w:rPr>
          <w:rFonts w:hint="eastAsia" w:ascii="仿宋_GB2312" w:hAnsi="仿宋_GB2312" w:eastAsia="仿宋_GB2312" w:cs="仿宋_GB2312"/>
          <w:color w:val="auto"/>
          <w:sz w:val="32"/>
          <w:szCs w:val="32"/>
          <w:highlight w:val="none"/>
          <w:lang w:eastAsia="zh-CN"/>
        </w:rPr>
        <w:t>围；针对餐饮服务经营者业态，</w:t>
      </w:r>
      <w:r>
        <w:rPr>
          <w:rFonts w:hint="eastAsia" w:ascii="仿宋_GB2312" w:hAnsi="仿宋_GB2312" w:eastAsia="仿宋_GB2312" w:cs="仿宋_GB2312"/>
          <w:color w:val="auto"/>
          <w:sz w:val="32"/>
          <w:szCs w:val="32"/>
          <w:highlight w:val="none"/>
          <w:lang w:val="en-US" w:eastAsia="zh-CN"/>
        </w:rPr>
        <w:t>力争实现饮品店全覆盖，</w:t>
      </w:r>
      <w:r>
        <w:rPr>
          <w:rFonts w:hint="eastAsia" w:ascii="仿宋_GB2312" w:hAnsi="仿宋_GB2312" w:eastAsia="仿宋_GB2312" w:cs="仿宋_GB2312"/>
          <w:color w:val="auto"/>
          <w:sz w:val="32"/>
          <w:szCs w:val="32"/>
        </w:rPr>
        <w:t>“全程网办”助力企业快办事、好办事</w:t>
      </w:r>
      <w:r>
        <w:rPr>
          <w:rFonts w:hint="eastAsia" w:ascii="仿宋_GB2312" w:hAnsi="仿宋_GB2312" w:eastAsia="仿宋_GB2312" w:cs="仿宋_GB2312"/>
          <w:color w:val="auto"/>
          <w:sz w:val="32"/>
          <w:szCs w:val="32"/>
          <w:lang w:eastAsia="zh-CN"/>
        </w:rPr>
        <w:t>。</w:t>
      </w:r>
    </w:p>
    <w:p>
      <w:pPr>
        <w:widowControl/>
        <w:spacing w:line="560" w:lineRule="exact"/>
        <w:ind w:firstLine="640" w:firstLineChars="200"/>
        <w:rPr>
          <w:rFonts w:hint="default" w:eastAsia="仿宋_GB2312"/>
          <w:lang w:val="en-US" w:eastAsia="zh-CN"/>
        </w:rPr>
      </w:pPr>
      <w:r>
        <w:rPr>
          <w:rFonts w:hint="eastAsia" w:ascii="仿宋_GB2312" w:hAnsi="仿宋_GB2312" w:eastAsia="仿宋_GB2312" w:cs="仿宋_GB2312"/>
          <w:color w:val="auto"/>
          <w:sz w:val="32"/>
          <w:szCs w:val="32"/>
        </w:rPr>
        <w:t>主责部门:食品流通科、餐饮科</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.推进“一业一证”工作向深向实发展。逐步完善以“大家商量着办”助推“一业一证”办理的工作机制。围绕进一步拓展新的行业场景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服务新的商圈做文章，持续帮助更多有需求的企业通过“一业一证”的形式落地经营。</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主责部门：政务服务中心</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w:t>
      </w:r>
      <w:r>
        <w:rPr>
          <w:rFonts w:ascii="仿宋_GB2312" w:hAnsi="仿宋_GB2312" w:eastAsia="仿宋_GB2312" w:cs="仿宋_GB2312"/>
          <w:color w:val="auto"/>
          <w:sz w:val="32"/>
          <w:szCs w:val="32"/>
        </w:rPr>
        <w:t>餐饮科、食品流通科、药械流通科</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.优化“</w:t>
      </w:r>
      <w:r>
        <w:rPr>
          <w:rFonts w:hint="eastAsia" w:ascii="仿宋_GB2312" w:hAnsi="仿宋_GB2312" w:eastAsia="仿宋_GB2312" w:cs="仿宋_GB2312"/>
          <w:color w:val="auto"/>
          <w:sz w:val="32"/>
          <w:szCs w:val="32"/>
          <w:lang w:eastAsia="zh-CN"/>
        </w:rPr>
        <w:t>免予办理强制性产品认证（</w:t>
      </w:r>
      <w:r>
        <w:rPr>
          <w:rFonts w:hint="eastAsia" w:ascii="仿宋_GB2312" w:hAnsi="仿宋_GB2312" w:eastAsia="仿宋_GB2312" w:cs="仿宋_GB2312"/>
          <w:color w:val="auto"/>
          <w:sz w:val="32"/>
          <w:szCs w:val="32"/>
        </w:rPr>
        <w:t>CCC免办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行政确认</w:t>
      </w:r>
      <w:r>
        <w:rPr>
          <w:rFonts w:hint="eastAsia" w:ascii="仿宋_GB2312" w:hAnsi="仿宋_GB2312" w:eastAsia="仿宋_GB2312" w:cs="仿宋_GB2312"/>
          <w:color w:val="auto"/>
          <w:sz w:val="32"/>
          <w:szCs w:val="32"/>
        </w:rPr>
        <w:t>服务供给。健全快速受理、即时办理的审核流程，梳理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CCC免办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常见问题进行预先提示，提高申请单位一次性通过率。</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主责部门：计量科</w:t>
      </w:r>
    </w:p>
    <w:p>
      <w:pPr>
        <w:pStyle w:val="5"/>
        <w:keepNext w:val="0"/>
        <w:keepLines w:val="0"/>
        <w:pageBreakBefore w:val="0"/>
        <w:widowControl w:val="0"/>
        <w:kinsoku/>
        <w:wordWrap/>
        <w:overflowPunct/>
        <w:topLinePunct w:val="0"/>
        <w:autoSpaceDE/>
        <w:autoSpaceDN/>
        <w:bidi w:val="0"/>
        <w:snapToGrid/>
        <w:spacing w:after="0" w:line="560" w:lineRule="exact"/>
        <w:ind w:firstLine="640" w:firstLineChars="200"/>
        <w:textAlignment w:val="auto"/>
        <w:rPr>
          <w:rFonts w:hint="eastAsia"/>
          <w:color w:val="auto"/>
        </w:rPr>
      </w:pPr>
      <w:r>
        <w:rPr>
          <w:rFonts w:hint="eastAsia"/>
          <w:color w:val="auto"/>
        </w:rPr>
        <w:t>1</w:t>
      </w:r>
      <w:r>
        <w:rPr>
          <w:rFonts w:hint="eastAsia"/>
          <w:color w:val="auto"/>
          <w:lang w:val="en-US" w:eastAsia="zh-CN"/>
        </w:rPr>
        <w:t>6</w:t>
      </w:r>
      <w:r>
        <w:rPr>
          <w:rFonts w:hint="eastAsia"/>
          <w:color w:val="auto"/>
        </w:rPr>
        <w:t>.深化</w:t>
      </w:r>
      <w:r>
        <w:rPr>
          <w:color w:val="auto"/>
        </w:rPr>
        <w:t>“</w:t>
      </w:r>
      <w:r>
        <w:rPr>
          <w:rFonts w:hint="eastAsia"/>
          <w:color w:val="auto"/>
        </w:rPr>
        <w:t>医药</w:t>
      </w:r>
      <w:r>
        <w:rPr>
          <w:color w:val="auto"/>
        </w:rPr>
        <w:t>产业创新合伙直通车”</w:t>
      </w:r>
      <w:r>
        <w:rPr>
          <w:rFonts w:hint="eastAsia"/>
          <w:color w:val="auto"/>
        </w:rPr>
        <w:t>服务模式</w:t>
      </w:r>
      <w:r>
        <w:rPr>
          <w:color w:val="auto"/>
        </w:rPr>
        <w:t>。</w:t>
      </w:r>
      <w:r>
        <w:rPr>
          <w:rFonts w:hint="eastAsia"/>
          <w:color w:val="auto"/>
        </w:rPr>
        <w:t>不断扩大直通车服务的覆盖范围，进一步优化直通车流程，鼓励企业、高校和研究机构之间的协同创新，探索建立更加灵活高效的合作模式，共同推动医药产业的创新升级。</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主责部门：</w:t>
      </w:r>
      <w:r>
        <w:rPr>
          <w:rFonts w:ascii="仿宋_GB2312" w:hAnsi="仿宋_GB2312" w:eastAsia="仿宋_GB2312" w:cs="仿宋_GB2312"/>
          <w:color w:val="auto"/>
          <w:sz w:val="32"/>
          <w:szCs w:val="32"/>
        </w:rPr>
        <w:t>药械流通科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医疗器械</w:t>
      </w:r>
      <w:r>
        <w:rPr>
          <w:rFonts w:ascii="仿宋_GB2312" w:hAnsi="仿宋_GB2312" w:eastAsia="仿宋_GB2312" w:cs="仿宋_GB2312"/>
          <w:color w:val="auto"/>
          <w:sz w:val="32"/>
          <w:szCs w:val="32"/>
        </w:rPr>
        <w:t>科</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eastAsia="仿宋_GB2312"/>
          <w:color w:val="auto"/>
          <w:sz w:val="32"/>
          <w:szCs w:val="32"/>
        </w:rPr>
      </w:pPr>
      <w:r>
        <w:rPr>
          <w:rFonts w:hint="eastAsia" w:ascii="仿宋_GB2312" w:hAnsi="仿宋_GB2312" w:eastAsia="仿宋_GB2312" w:cs="仿宋_GB2312"/>
          <w:color w:val="auto"/>
          <w:sz w:val="32"/>
          <w:szCs w:val="32"/>
        </w:rPr>
        <w:t>配合部门：中关村知识产权保护中心</w:t>
      </w:r>
      <w:r>
        <w:rPr>
          <w:rFonts w:hint="eastAsia" w:eastAsia="仿宋_GB2312"/>
          <w:color w:val="auto"/>
          <w:sz w:val="32"/>
          <w:szCs w:val="32"/>
        </w:rPr>
        <w:t>、</w:t>
      </w:r>
      <w:r>
        <w:rPr>
          <w:rFonts w:eastAsia="仿宋_GB2312"/>
          <w:color w:val="auto"/>
          <w:sz w:val="32"/>
          <w:szCs w:val="32"/>
        </w:rPr>
        <w:t>各市场监管所</w:t>
      </w:r>
    </w:p>
    <w:p>
      <w:pPr>
        <w:keepNext w:val="0"/>
        <w:keepLines w:val="0"/>
        <w:pageBreakBefore w:val="0"/>
        <w:kinsoku/>
        <w:overflowPunct/>
        <w:topLinePunct w:val="0"/>
        <w:autoSpaceDE/>
        <w:autoSpaceDN/>
        <w:bidi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三、营造</w:t>
      </w:r>
      <w:r>
        <w:rPr>
          <w:rFonts w:hint="eastAsia" w:ascii="黑体" w:hAnsi="黑体" w:eastAsia="黑体" w:cs="黑体"/>
          <w:color w:val="auto"/>
          <w:sz w:val="32"/>
          <w:szCs w:val="32"/>
          <w:lang w:val="en-US" w:eastAsia="zh-CN"/>
        </w:rPr>
        <w:t>安全</w:t>
      </w:r>
      <w:r>
        <w:rPr>
          <w:rFonts w:hint="eastAsia" w:ascii="黑体" w:hAnsi="黑体" w:eastAsia="黑体" w:cs="黑体"/>
          <w:color w:val="auto"/>
          <w:sz w:val="32"/>
          <w:szCs w:val="32"/>
        </w:rPr>
        <w:t>高效的市场环境</w:t>
      </w:r>
    </w:p>
    <w:p>
      <w:pPr>
        <w:adjustRightInd w:val="0"/>
        <w:snapToGri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全面推进一体化综合监管。统筹全区各部门推行综合监管“无事不扰”企业清单，</w:t>
      </w:r>
      <w:r>
        <w:rPr>
          <w:rFonts w:hint="eastAsia" w:ascii="仿宋_GB2312" w:hAnsi="仿宋_GB2312" w:eastAsia="仿宋_GB2312" w:cs="仿宋_GB2312"/>
          <w:sz w:val="32"/>
          <w:lang w:val="en-US" w:eastAsia="zh-CN"/>
        </w:rPr>
        <w:t>清单数量</w:t>
      </w:r>
      <w:r>
        <w:rPr>
          <w:rFonts w:hint="eastAsia" w:ascii="仿宋_GB2312" w:hAnsi="仿宋_GB2312" w:eastAsia="仿宋_GB2312" w:cs="仿宋_GB2312"/>
          <w:sz w:val="32"/>
        </w:rPr>
        <w:t>增加至10000家以上</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对纳入清单的经营主体，除被投诉举报、转办交办案件线索、专项检查及法律法规另有规定外，原则上不主动实施现场检查。</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主责部门：信用科</w:t>
      </w:r>
    </w:p>
    <w:p>
      <w:pPr>
        <w:keepNext w:val="0"/>
        <w:keepLines w:val="0"/>
        <w:pageBreakBefore w:val="0"/>
        <w:kinsoku/>
        <w:overflowPunct/>
        <w:topLinePunct w:val="0"/>
        <w:autoSpaceDE/>
        <w:autoSpaceDN/>
        <w:bidi w:val="0"/>
        <w:spacing w:line="560" w:lineRule="exact"/>
        <w:ind w:firstLine="640" w:firstLineChars="200"/>
        <w:rPr>
          <w:color w:val="auto"/>
        </w:rPr>
      </w:pPr>
      <w:r>
        <w:rPr>
          <w:rFonts w:hint="eastAsia" w:ascii="仿宋_GB2312" w:hAnsi="仿宋_GB2312" w:eastAsia="仿宋_GB2312" w:cs="仿宋_GB2312"/>
          <w:color w:val="auto"/>
          <w:sz w:val="32"/>
          <w:szCs w:val="32"/>
        </w:rPr>
        <w:t>配合部门：各业务科室、各市场监管所</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lang w:val="en-US" w:eastAsia="zh-CN"/>
        </w:rPr>
        <w:t>18</w:t>
      </w:r>
      <w:r>
        <w:rPr>
          <w:rFonts w:hint="eastAsia" w:ascii="仿宋_GB2312" w:hAnsi="仿宋_GB2312" w:eastAsia="仿宋_GB2312" w:cs="仿宋_GB2312"/>
          <w:sz w:val="32"/>
        </w:rPr>
        <w:t>.统筹推进全区非现场监管。搭建海淀区一体化综合监管平台，在电梯监管、药店监管、不可移动文物监管、养老服务机构安全生产管理等领域先行先试完成非现场监管工作闭环。建立非现场监管数据共享响应机制，充分运用人工智能、大数据分析等现代技术手段，收集、分析、评估相关监管数据，及时发现潜在的风险隐患</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主责部门：信用科</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配合部门：各业务科室、各市场监管所</w:t>
      </w:r>
    </w:p>
    <w:p>
      <w:pPr>
        <w:keepNext w:val="0"/>
        <w:keepLines w:val="0"/>
        <w:pageBreakBefore w:val="0"/>
        <w:numPr>
          <w:ilvl w:val="255"/>
          <w:numId w:val="0"/>
        </w:numPr>
        <w:kinsoku/>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w:t>
      </w:r>
      <w:r>
        <w:rPr>
          <w:rStyle w:val="11"/>
          <w:rFonts w:hint="eastAsia" w:ascii="仿宋_GB2312" w:hAnsi="仿宋_GB2312" w:eastAsia="仿宋_GB2312" w:cs="仿宋_GB2312"/>
          <w:b w:val="0"/>
          <w:bCs w:val="0"/>
          <w:i w:val="0"/>
          <w:iCs w:val="0"/>
          <w:caps w:val="0"/>
          <w:color w:val="auto"/>
          <w:spacing w:val="0"/>
          <w:sz w:val="32"/>
          <w:szCs w:val="32"/>
          <w:shd w:val="clear" w:fill="FFFFFF"/>
        </w:rPr>
        <w:t>最大限度减少涉企检查次数</w:t>
      </w:r>
      <w:r>
        <w:rPr>
          <w:rFonts w:hint="eastAsia" w:ascii="仿宋_GB2312" w:hAnsi="仿宋_GB2312" w:eastAsia="仿宋_GB2312" w:cs="仿宋_GB2312"/>
          <w:b w:val="0"/>
          <w:bCs w:val="0"/>
          <w:i w:val="0"/>
          <w:iCs w:val="0"/>
          <w:caps w:val="0"/>
          <w:color w:val="auto"/>
          <w:spacing w:val="0"/>
          <w:sz w:val="32"/>
          <w:szCs w:val="32"/>
          <w:shd w:val="clear"/>
          <w:lang w:eastAsia="zh-CN"/>
        </w:rPr>
        <w:t>。</w:t>
      </w:r>
      <w:r>
        <w:rPr>
          <w:rFonts w:hint="eastAsia" w:ascii="仿宋_GB2312" w:hAnsi="仿宋_GB2312" w:eastAsia="仿宋_GB2312" w:cs="仿宋_GB2312"/>
          <w:color w:val="auto"/>
          <w:sz w:val="32"/>
          <w:szCs w:val="32"/>
        </w:rPr>
        <w:t>充分发挥信用风险分类在双随机抽查中的积极作用，结合企业信用风险分类结果合理确定、动态调整抽查比例和频次，对信用风险低的市场主体进一步减少抽查比例频次，在双随机抽查领域推行“一码检查”。</w:t>
      </w:r>
    </w:p>
    <w:p>
      <w:pPr>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主责部门：企监科</w:t>
      </w:r>
    </w:p>
    <w:p>
      <w:pPr>
        <w:keepNext w:val="0"/>
        <w:keepLines w:val="0"/>
        <w:pageBreakBefore w:val="0"/>
        <w:numPr>
          <w:ilvl w:val="255"/>
          <w:numId w:val="0"/>
        </w:numPr>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配合部门：各市场监管所</w:t>
      </w:r>
    </w:p>
    <w:p>
      <w:pPr>
        <w:keepNext w:val="0"/>
        <w:keepLines w:val="0"/>
        <w:pageBreakBefore w:val="0"/>
        <w:numPr>
          <w:ilvl w:val="255"/>
          <w:numId w:val="0"/>
        </w:numPr>
        <w:kinsoku/>
        <w:overflowPunct/>
        <w:topLinePunct w:val="0"/>
        <w:autoSpaceDE/>
        <w:autoSpaceDN/>
        <w:bidi w:val="0"/>
        <w:spacing w:line="560" w:lineRule="exact"/>
        <w:ind w:firstLine="640" w:firstLineChars="200"/>
        <w:rPr>
          <w:rFonts w:eastAsia="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.在全区推行线下无理由退货承诺活动</w:t>
      </w:r>
      <w:r>
        <w:rPr>
          <w:rFonts w:hint="eastAsia" w:eastAsia="仿宋_GB2312"/>
          <w:color w:val="auto"/>
          <w:sz w:val="32"/>
          <w:szCs w:val="32"/>
        </w:rPr>
        <w:t>，在</w:t>
      </w:r>
      <w:r>
        <w:rPr>
          <w:rFonts w:hint="eastAsia" w:eastAsia="仿宋_GB2312"/>
          <w:color w:val="auto"/>
          <w:sz w:val="32"/>
          <w:szCs w:val="32"/>
          <w:lang w:eastAsia="zh-CN"/>
        </w:rPr>
        <w:t>各</w:t>
      </w:r>
      <w:r>
        <w:rPr>
          <w:rFonts w:hint="eastAsia" w:eastAsia="仿宋_GB2312"/>
          <w:color w:val="auto"/>
          <w:sz w:val="32"/>
          <w:szCs w:val="32"/>
        </w:rPr>
        <w:t>大商圈重点行业推行线下无理由退货工作，</w:t>
      </w:r>
      <w:r>
        <w:rPr>
          <w:rFonts w:hint="eastAsia" w:eastAsia="仿宋_GB2312"/>
          <w:color w:val="auto"/>
          <w:sz w:val="32"/>
          <w:szCs w:val="32"/>
          <w:lang w:eastAsia="zh-CN"/>
        </w:rPr>
        <w:t>持续</w:t>
      </w:r>
      <w:r>
        <w:rPr>
          <w:rFonts w:hint="eastAsia" w:ascii="仿宋_GB2312" w:hAnsi="仿宋_GB2312" w:eastAsia="仿宋_GB2312" w:cs="仿宋_GB2312"/>
          <w:color w:val="auto"/>
          <w:sz w:val="32"/>
          <w:szCs w:val="32"/>
        </w:rPr>
        <w:t>优化消费环境、激发消费潜力，</w:t>
      </w:r>
      <w:r>
        <w:rPr>
          <w:rFonts w:hint="eastAsia" w:ascii="仿宋_GB2312" w:hAnsi="仿宋_GB2312" w:eastAsia="仿宋_GB2312" w:cs="仿宋_GB2312"/>
          <w:color w:val="auto"/>
          <w:sz w:val="32"/>
          <w:szCs w:val="32"/>
          <w:lang w:val="en-US" w:eastAsia="zh-CN"/>
        </w:rPr>
        <w:t>提振</w:t>
      </w:r>
      <w:r>
        <w:rPr>
          <w:rFonts w:hint="eastAsia" w:eastAsia="仿宋_GB2312"/>
          <w:color w:val="auto"/>
          <w:sz w:val="32"/>
          <w:szCs w:val="32"/>
        </w:rPr>
        <w:t>消费者对实体企业的信心，促进企业的发展和海淀</w:t>
      </w:r>
      <w:r>
        <w:rPr>
          <w:rFonts w:hint="eastAsia" w:ascii="仿宋_GB2312" w:hAnsi="仿宋_GB2312" w:eastAsia="仿宋_GB2312" w:cs="仿宋_GB2312"/>
          <w:color w:val="auto"/>
          <w:sz w:val="32"/>
          <w:szCs w:val="32"/>
        </w:rPr>
        <w:t>区经济持续健康发展</w:t>
      </w:r>
      <w:r>
        <w:rPr>
          <w:rFonts w:hint="eastAsia" w:eastAsia="仿宋_GB2312"/>
          <w:color w:val="auto"/>
          <w:sz w:val="32"/>
          <w:szCs w:val="32"/>
        </w:rPr>
        <w:t>。</w:t>
      </w:r>
    </w:p>
    <w:p>
      <w:pPr>
        <w:pStyle w:val="14"/>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主责部门：消保科、接诉即办专班</w:t>
      </w:r>
    </w:p>
    <w:p>
      <w:pPr>
        <w:keepNext w:val="0"/>
        <w:keepLines w:val="0"/>
        <w:pageBreakBefore w:val="0"/>
        <w:widowControl/>
        <w:kinsoku/>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配合部门：各市监所</w:t>
      </w:r>
    </w:p>
    <w:p>
      <w:pPr>
        <w:keepNext w:val="0"/>
        <w:keepLines w:val="0"/>
        <w:pageBreakBefore w:val="0"/>
        <w:numPr>
          <w:ilvl w:val="-1"/>
          <w:numId w:val="0"/>
        </w:numPr>
        <w:kinsoku/>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对全区学校和养老助餐服务单位食堂开展全覆盖指导。聚焦食堂食品安全管理重点难点，提供精准合规指导，确保食品原料质量安全，提升操作规范化水平，保障“一老一小”食品安全，维护优质教育</w:t>
      </w:r>
      <w:r>
        <w:rPr>
          <w:rFonts w:hint="eastAsia" w:ascii="仿宋_GB2312" w:hAnsi="仿宋_GB2312" w:eastAsia="仿宋_GB2312" w:cs="仿宋_GB2312"/>
          <w:color w:val="auto"/>
          <w:sz w:val="32"/>
          <w:szCs w:val="32"/>
          <w:lang w:val="en-US" w:eastAsia="zh-CN"/>
        </w:rPr>
        <w:t>和养老</w:t>
      </w:r>
      <w:r>
        <w:rPr>
          <w:rFonts w:hint="eastAsia" w:ascii="仿宋_GB2312" w:hAnsi="仿宋_GB2312" w:eastAsia="仿宋_GB2312" w:cs="仿宋_GB2312"/>
          <w:color w:val="auto"/>
          <w:sz w:val="32"/>
          <w:szCs w:val="32"/>
        </w:rPr>
        <w:t>生态环境。</w:t>
      </w:r>
    </w:p>
    <w:p>
      <w:pPr>
        <w:keepNext w:val="0"/>
        <w:keepLines w:val="0"/>
        <w:pageBreakBefore w:val="0"/>
        <w:numPr>
          <w:ilvl w:val="255"/>
          <w:numId w:val="0"/>
        </w:numPr>
        <w:kinsoku/>
        <w:overflowPunct/>
        <w:topLinePunct w:val="0"/>
        <w:autoSpaceDE/>
        <w:autoSpaceDN/>
        <w:bidi w:val="0"/>
        <w:adjustRightInd/>
        <w:spacing w:line="560" w:lineRule="exact"/>
        <w:ind w:firstLine="640" w:firstLineChars="200"/>
        <w:rPr>
          <w:rFonts w:eastAsia="仿宋_GB2312"/>
          <w:color w:val="auto"/>
        </w:rPr>
      </w:pPr>
      <w:r>
        <w:rPr>
          <w:rFonts w:hint="eastAsia" w:ascii="仿宋_GB2312" w:hAnsi="仿宋_GB2312" w:eastAsia="仿宋_GB2312" w:cs="仿宋_GB2312"/>
          <w:color w:val="auto"/>
          <w:sz w:val="32"/>
          <w:szCs w:val="32"/>
        </w:rPr>
        <w:t>主责部门：餐饮科</w:t>
      </w:r>
    </w:p>
    <w:p>
      <w:pPr>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配合部门：各市场监管所</w:t>
      </w:r>
    </w:p>
    <w:p>
      <w:pPr>
        <w:pStyle w:val="14"/>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.在特种设备安全领域探索建立与各行业部门协调联动机制，加强多元共治。</w:t>
      </w:r>
      <w:r>
        <w:rPr>
          <w:rFonts w:hint="eastAsia" w:ascii="仿宋_GB2312" w:hAnsi="仿宋_GB2312" w:eastAsia="仿宋_GB2312" w:cs="仿宋_GB2312"/>
          <w:color w:val="auto"/>
          <w:sz w:val="32"/>
          <w:szCs w:val="32"/>
          <w:lang w:val="en-US" w:eastAsia="zh-CN"/>
        </w:rPr>
        <w:t>开</w:t>
      </w:r>
      <w:r>
        <w:rPr>
          <w:rFonts w:hint="eastAsia" w:ascii="仿宋_GB2312" w:hAnsi="仿宋_GB2312" w:eastAsia="仿宋_GB2312" w:cs="仿宋_GB2312"/>
          <w:color w:val="auto"/>
          <w:sz w:val="32"/>
          <w:szCs w:val="32"/>
        </w:rPr>
        <w:t>展“四个一”专项检查、老旧电梯安全评估、使用管理和维保质量监督抽查，推动特种设备“两个规定”落实，有效防范和遏制安全事故发生，筑牢安全生产屏障。</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主责部门：特设科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配合部门：特检所、各市场监管所</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23.广泛推动移动“砝码”贴的应用，通过开展移动“砝码”贴进社区、进校园、进景区、进农村等活动，提升消费者维护公平交易权的能力，加强消费者参与计量器具社会监督的力度，对“鬼秤”等违法行为形成有力震慑，维护公平有序的市场秩序</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主责部门：</w:t>
      </w:r>
      <w:r>
        <w:rPr>
          <w:rFonts w:hint="eastAsia" w:ascii="仿宋_GB2312" w:hAnsi="仿宋_GB2312" w:eastAsia="仿宋_GB2312" w:cs="仿宋_GB2312"/>
          <w:color w:val="auto"/>
          <w:sz w:val="32"/>
          <w:szCs w:val="32"/>
          <w:lang w:val="en-US" w:eastAsia="zh-CN"/>
        </w:rPr>
        <w:t>计量科</w:t>
      </w:r>
    </w:p>
    <w:p>
      <w:pPr>
        <w:keepNext w:val="0"/>
        <w:keepLines w:val="0"/>
        <w:pageBreakBefore w:val="0"/>
        <w:kinsoku/>
        <w:overflowPunct/>
        <w:topLinePunct w:val="0"/>
        <w:autoSpaceDE/>
        <w:autoSpaceDN/>
        <w:bidi w:val="0"/>
        <w:spacing w:line="560" w:lineRule="exact"/>
        <w:ind w:firstLine="640" w:firstLineChars="200"/>
      </w:pPr>
      <w:r>
        <w:rPr>
          <w:rFonts w:hint="eastAsia" w:ascii="仿宋_GB2312" w:hAnsi="仿宋_GB2312" w:eastAsia="仿宋_GB2312" w:cs="仿宋_GB2312"/>
          <w:color w:val="auto"/>
          <w:sz w:val="32"/>
          <w:szCs w:val="32"/>
        </w:rPr>
        <w:t>配合部门：</w:t>
      </w:r>
      <w:r>
        <w:rPr>
          <w:rFonts w:hint="eastAsia" w:ascii="仿宋_GB2312" w:hAnsi="仿宋_GB2312" w:eastAsia="仿宋_GB2312" w:cs="仿宋_GB2312"/>
          <w:color w:val="auto"/>
          <w:sz w:val="32"/>
          <w:szCs w:val="32"/>
          <w:lang w:val="en-US" w:eastAsia="zh-CN"/>
        </w:rPr>
        <w:t>各市场监管所</w:t>
      </w:r>
    </w:p>
    <w:p>
      <w:pPr>
        <w:keepNext w:val="0"/>
        <w:keepLines w:val="0"/>
        <w:pageBreakBefore w:val="0"/>
        <w:kinsoku/>
        <w:overflowPunct/>
        <w:topLinePunct w:val="0"/>
        <w:autoSpaceDE/>
        <w:autoSpaceDN/>
        <w:bidi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四、营造公平有序的法治环境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.提高公平竞争审查质量。</w:t>
      </w:r>
      <w:r>
        <w:rPr>
          <w:rFonts w:hint="eastAsia" w:ascii="仿宋_GB2312" w:hAnsi="仿宋_GB2312" w:eastAsia="仿宋_GB2312" w:cs="仿宋_GB2312"/>
          <w:i w:val="0"/>
          <w:caps w:val="0"/>
          <w:color w:val="auto"/>
          <w:spacing w:val="0"/>
          <w:sz w:val="32"/>
          <w:szCs w:val="32"/>
          <w:shd w:val="clear" w:fill="FFFFFF"/>
          <w:lang w:val="en-US" w:eastAsia="zh-CN"/>
        </w:rPr>
        <w:t>组织制定《海淀区公平竞争审查合规指引清单》，</w:t>
      </w:r>
      <w:r>
        <w:rPr>
          <w:rFonts w:hint="eastAsia" w:ascii="仿宋_GB2312" w:hAnsi="仿宋_GB2312" w:eastAsia="仿宋_GB2312" w:cs="仿宋_GB2312"/>
          <w:color w:val="auto"/>
          <w:kern w:val="2"/>
          <w:sz w:val="32"/>
          <w:szCs w:val="32"/>
          <w:lang w:val="en-US" w:eastAsia="zh-CN" w:bidi="ar-SA"/>
        </w:rPr>
        <w:t>完善公平竞争工作机制，强化公平竞争监督矩阵，落实区级审查、抽查、绩效考核等多种监督方式；统一审查标准，提高审查水平，提升实践能力，加强公平竞争审查制度刚性约束，支持各类经营主体平等参与市场竞争，激发市场活力。</w:t>
      </w:r>
    </w:p>
    <w:p>
      <w:pPr>
        <w:keepNext w:val="0"/>
        <w:keepLines w:val="0"/>
        <w:pageBreakBefore w:val="0"/>
        <w:kinsoku/>
        <w:overflowPunct/>
        <w:topLinePunct w:val="0"/>
        <w:autoSpaceDE/>
        <w:autoSpaceDN/>
        <w:bidi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主责部门：</w:t>
      </w:r>
      <w:r>
        <w:rPr>
          <w:rFonts w:hint="eastAsia" w:ascii="仿宋_GB2312" w:hAnsi="仿宋_GB2312" w:eastAsia="仿宋_GB2312" w:cs="仿宋_GB2312"/>
          <w:color w:val="auto"/>
          <w:sz w:val="32"/>
          <w:szCs w:val="32"/>
          <w:lang w:val="en-US" w:eastAsia="zh-CN"/>
        </w:rPr>
        <w:t>公平竞争科</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配合部门：各</w:t>
      </w:r>
      <w:r>
        <w:rPr>
          <w:rFonts w:hint="eastAsia" w:ascii="仿宋_GB2312" w:hAnsi="仿宋_GB2312" w:eastAsia="仿宋_GB2312" w:cs="仿宋_GB2312"/>
          <w:color w:val="auto"/>
          <w:sz w:val="32"/>
          <w:szCs w:val="32"/>
          <w:lang w:val="en-US" w:eastAsia="zh-CN"/>
        </w:rPr>
        <w:t>业务科室</w:t>
      </w:r>
    </w:p>
    <w:p>
      <w:pPr>
        <w:keepNext w:val="0"/>
        <w:keepLines w:val="0"/>
        <w:pageBreakBefore w:val="0"/>
        <w:kinsoku/>
        <w:overflowPunct/>
        <w:topLinePunct w:val="0"/>
        <w:autoSpaceDE/>
        <w:autoSpaceDN/>
        <w:bidi w:val="0"/>
        <w:adjustRightInd w:val="0"/>
        <w:snapToGrid w:val="0"/>
        <w:spacing w:line="560" w:lineRule="exact"/>
        <w:ind w:firstLine="640" w:firstLineChars="200"/>
        <w:rPr>
          <w:color w:val="auto"/>
        </w:rPr>
      </w:pP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建立健全常态化信用修复机制</w:t>
      </w:r>
      <w:r>
        <w:rPr>
          <w:rFonts w:hint="eastAsia" w:ascii="仿宋_GB2312" w:eastAsia="仿宋_GB2312"/>
          <w:color w:val="auto"/>
          <w:sz w:val="32"/>
          <w:szCs w:val="32"/>
        </w:rPr>
        <w:t>。</w:t>
      </w:r>
      <w:r>
        <w:rPr>
          <w:rFonts w:hint="eastAsia" w:ascii="仿宋_GB2312" w:hAnsi="仿宋_GB2312" w:eastAsia="仿宋_GB2312" w:cs="仿宋_GB2312"/>
          <w:color w:val="auto"/>
          <w:kern w:val="0"/>
          <w:sz w:val="32"/>
          <w:szCs w:val="32"/>
          <w:lang w:bidi="ar"/>
        </w:rPr>
        <w:t>畅通线上线下修复双渠道，分类开展经营异常名录、严重违法失信名单主体、行政处罚信用修复，对符合条件的失信企业，依法依规实现“能修尽修、应修必修”。对符合条件的市场主体探索推进“在线申请+数据核查”的修复方式，实现信用修复“网上办、零见面”，助力主体重塑良好信用。</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主责部门：企监科</w:t>
      </w:r>
    </w:p>
    <w:p>
      <w:pPr>
        <w:keepNext w:val="0"/>
        <w:keepLines w:val="0"/>
        <w:pageBreakBefore w:val="0"/>
        <w:numPr>
          <w:ilvl w:val="255"/>
          <w:numId w:val="0"/>
        </w:numPr>
        <w:kinsoku/>
        <w:overflowPunct/>
        <w:topLinePunct w:val="0"/>
        <w:autoSpaceDE/>
        <w:autoSpaceDN/>
        <w:bidi w:val="0"/>
        <w:spacing w:line="560" w:lineRule="exact"/>
        <w:ind w:firstLine="640" w:firstLineChars="200"/>
        <w:rPr>
          <w:rFonts w:hint="eastAsia"/>
        </w:rPr>
      </w:pPr>
      <w:r>
        <w:rPr>
          <w:rFonts w:hint="eastAsia" w:ascii="仿宋_GB2312" w:hAnsi="仿宋_GB2312" w:eastAsia="仿宋_GB2312" w:cs="仿宋_GB2312"/>
          <w:color w:val="auto"/>
          <w:sz w:val="32"/>
          <w:szCs w:val="32"/>
        </w:rPr>
        <w:t>配合部门：各市场监管所</w:t>
      </w:r>
    </w:p>
    <w:p>
      <w:pPr>
        <w:keepNext w:val="0"/>
        <w:keepLines w:val="0"/>
        <w:pageBreakBefore w:val="0"/>
        <w:widowControl/>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26</w:t>
      </w:r>
      <w:r>
        <w:rPr>
          <w:rFonts w:hint="eastAsia" w:ascii="仿宋_GB2312" w:hAnsi="仿宋_GB2312" w:eastAsia="仿宋_GB2312" w:cs="仿宋_GB2312"/>
          <w:color w:val="auto"/>
          <w:sz w:val="32"/>
          <w:szCs w:val="32"/>
          <w:shd w:val="clear" w:color="auto" w:fill="FFFFFF"/>
        </w:rPr>
        <w:t>.坚持宽严相济，</w:t>
      </w:r>
      <w:r>
        <w:rPr>
          <w:rFonts w:hint="eastAsia" w:ascii="仿宋_GB2312" w:hAnsi="仿宋_GB2312" w:eastAsia="仿宋_GB2312" w:cs="仿宋_GB2312"/>
          <w:bCs/>
          <w:color w:val="auto"/>
          <w:sz w:val="32"/>
          <w:szCs w:val="32"/>
        </w:rPr>
        <w:t>落实包容审慎监管政策</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rPr>
        <w:t>保证裁量的合法性及合理性。推动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北京市市场监督管理局不予实施行政强制措施清单</w:t>
      </w:r>
      <w:r>
        <w:rPr>
          <w:rFonts w:hint="eastAsia" w:ascii="仿宋_GB2312" w:hAnsi="仿宋_GB2312" w:eastAsia="仿宋_GB2312" w:cs="仿宋_GB2312"/>
          <w:color w:val="auto"/>
          <w:sz w:val="32"/>
          <w:szCs w:val="32"/>
          <w:lang w:eastAsia="zh-CN"/>
        </w:rPr>
        <w:t>》《北京市市场监督管理局轻微违法行为容错纠错清单》（</w:t>
      </w:r>
      <w:r>
        <w:rPr>
          <w:rFonts w:hint="eastAsia" w:ascii="仿宋_GB2312" w:hAnsi="仿宋_GB2312" w:eastAsia="仿宋_GB2312" w:cs="仿宋_GB2312"/>
          <w:color w:val="auto"/>
          <w:sz w:val="32"/>
          <w:szCs w:val="32"/>
          <w:lang w:val="en-US" w:eastAsia="zh-CN"/>
        </w:rPr>
        <w:t>第三版）</w:t>
      </w:r>
      <w:r>
        <w:rPr>
          <w:rFonts w:hint="eastAsia" w:ascii="仿宋_GB2312" w:hAnsi="仿宋_GB2312" w:eastAsia="仿宋_GB2312" w:cs="仿宋_GB2312"/>
          <w:color w:val="auto"/>
          <w:sz w:val="32"/>
          <w:szCs w:val="32"/>
          <w:shd w:val="clear" w:color="auto" w:fill="FFFFFF"/>
        </w:rPr>
        <w:t>切实落地见效，对新业态、新行业企业集中反应问题</w:t>
      </w:r>
      <w:r>
        <w:rPr>
          <w:rFonts w:hint="eastAsia" w:ascii="仿宋_GB2312" w:hAnsi="仿宋_GB2312" w:eastAsia="仿宋_GB2312" w:cs="仿宋_GB2312"/>
          <w:color w:val="auto"/>
          <w:sz w:val="32"/>
          <w:szCs w:val="32"/>
          <w:shd w:val="clear" w:color="auto" w:fill="FFFFFF"/>
          <w:lang w:val="en-US" w:eastAsia="zh-CN"/>
        </w:rPr>
        <w:t>及时向市局反馈</w:t>
      </w:r>
      <w:r>
        <w:rPr>
          <w:rFonts w:hint="eastAsia" w:ascii="仿宋_GB2312" w:hAnsi="仿宋_GB2312" w:eastAsia="仿宋_GB2312" w:cs="仿宋_GB2312"/>
          <w:color w:val="auto"/>
          <w:sz w:val="32"/>
          <w:szCs w:val="32"/>
          <w:shd w:val="clear" w:color="auto" w:fill="FFFFFF"/>
        </w:rPr>
        <w:t>，推动动态调整市场监管领域</w:t>
      </w:r>
      <w:r>
        <w:rPr>
          <w:rFonts w:hint="eastAsia" w:ascii="仿宋_GB2312" w:hAnsi="仿宋_GB2312" w:eastAsia="仿宋_GB2312" w:cs="仿宋_GB2312"/>
          <w:color w:val="auto"/>
          <w:sz w:val="32"/>
          <w:szCs w:val="32"/>
          <w:lang w:eastAsia="zh-CN"/>
        </w:rPr>
        <w:t>容错纠错</w:t>
      </w:r>
      <w:r>
        <w:rPr>
          <w:rFonts w:hint="eastAsia" w:ascii="仿宋_GB2312" w:hAnsi="仿宋_GB2312" w:eastAsia="仿宋_GB2312" w:cs="仿宋_GB2312"/>
          <w:color w:val="auto"/>
          <w:sz w:val="32"/>
          <w:szCs w:val="32"/>
          <w:shd w:val="clear" w:color="auto" w:fill="FFFFFF"/>
        </w:rPr>
        <w:t>清单内容。</w:t>
      </w:r>
      <w:r>
        <w:rPr>
          <w:rFonts w:hint="eastAsia" w:ascii="仿宋_GB2312" w:hAnsi="仿宋_GB2312" w:eastAsia="仿宋_GB2312" w:cs="仿宋_GB2312"/>
          <w:color w:val="auto"/>
          <w:sz w:val="32"/>
          <w:szCs w:val="32"/>
        </w:rPr>
        <w:t>对案件裁量重点审核，确保全局对类案裁量的一致性。</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主责部门：法制科</w:t>
      </w:r>
    </w:p>
    <w:p>
      <w:pPr>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配合部门：各业务科</w:t>
      </w:r>
      <w:r>
        <w:rPr>
          <w:rFonts w:hint="eastAsia" w:ascii="仿宋_GB2312" w:hAnsi="仿宋_GB2312" w:eastAsia="仿宋_GB2312" w:cs="仿宋_GB2312"/>
          <w:color w:val="auto"/>
          <w:sz w:val="32"/>
          <w:szCs w:val="32"/>
          <w:lang w:eastAsia="zh-CN"/>
        </w:rPr>
        <w:t>队</w:t>
      </w:r>
      <w:r>
        <w:rPr>
          <w:rFonts w:hint="eastAsia" w:ascii="仿宋_GB2312" w:hAnsi="仿宋_GB2312" w:eastAsia="仿宋_GB2312" w:cs="仿宋_GB2312"/>
          <w:color w:val="auto"/>
          <w:sz w:val="32"/>
          <w:szCs w:val="32"/>
        </w:rPr>
        <w:t>、各市场监管</w:t>
      </w:r>
      <w:r>
        <w:rPr>
          <w:rFonts w:hint="eastAsia" w:ascii="仿宋_GB2312" w:hAnsi="仿宋_GB2312" w:eastAsia="仿宋_GB2312" w:cs="仿宋_GB2312"/>
          <w:color w:val="auto"/>
          <w:sz w:val="32"/>
          <w:szCs w:val="32"/>
          <w:lang w:val="en-US" w:eastAsia="zh-CN"/>
        </w:rPr>
        <w:t>所</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依法规制</w:t>
      </w:r>
      <w:r>
        <w:rPr>
          <w:rFonts w:hint="eastAsia" w:ascii="仿宋_GB2312" w:hAnsi="仿宋_GB2312" w:eastAsia="仿宋_GB2312" w:cs="仿宋_GB2312"/>
          <w:color w:val="auto"/>
          <w:sz w:val="32"/>
          <w:szCs w:val="32"/>
        </w:rPr>
        <w:t>职业索赔行为。限制职业索赔的不当牟利，严厉打击通过夹带、调包、造假、篡改商品生产日期、捏造事实等方式骗取经营者赔偿或者敲诈勒索的恶意索赔行为。持续探索利用大数据打击恶意索赔长效机制，为助力优化营商环境、打造一流“北京服务”品牌贡献市场监管力量。</w:t>
      </w:r>
    </w:p>
    <w:p>
      <w:pPr>
        <w:keepNext w:val="0"/>
        <w:keepLines w:val="0"/>
        <w:pageBreakBefore w:val="0"/>
        <w:kinsoku/>
        <w:overflowPunct/>
        <w:topLinePunct w:val="0"/>
        <w:autoSpaceDE/>
        <w:autoSpaceDN/>
        <w:bidi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主责部门：</w:t>
      </w:r>
      <w:r>
        <w:rPr>
          <w:rFonts w:hint="eastAsia" w:ascii="仿宋_GB2312" w:hAnsi="仿宋_GB2312" w:eastAsia="仿宋_GB2312" w:cs="仿宋_GB2312"/>
          <w:color w:val="auto"/>
          <w:sz w:val="32"/>
          <w:szCs w:val="32"/>
          <w:lang w:val="en-US" w:eastAsia="zh-CN"/>
        </w:rPr>
        <w:t>执法五队</w:t>
      </w:r>
    </w:p>
    <w:p>
      <w:pPr>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配合部门：各业务科</w:t>
      </w:r>
      <w:r>
        <w:rPr>
          <w:rFonts w:hint="eastAsia" w:ascii="仿宋_GB2312" w:hAnsi="仿宋_GB2312" w:eastAsia="仿宋_GB2312" w:cs="仿宋_GB2312"/>
          <w:color w:val="auto"/>
          <w:sz w:val="32"/>
          <w:szCs w:val="32"/>
          <w:lang w:val="en-US" w:eastAsia="zh-CN"/>
        </w:rPr>
        <w:t>队</w:t>
      </w:r>
      <w:r>
        <w:rPr>
          <w:rFonts w:hint="eastAsia" w:ascii="仿宋_GB2312" w:hAnsi="仿宋_GB2312" w:eastAsia="仿宋_GB2312" w:cs="仿宋_GB2312"/>
          <w:color w:val="auto"/>
          <w:sz w:val="32"/>
          <w:szCs w:val="32"/>
        </w:rPr>
        <w:t>、各市场监管所</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28.持续开展反不正当竞争“守护”专项行动。以规范民生领域实体营销行为为重点，</w:t>
      </w:r>
      <w:r>
        <w:rPr>
          <w:rFonts w:hint="eastAsia" w:ascii="仿宋_GB2312" w:hAnsi="仿宋_GB2312" w:eastAsia="仿宋_GB2312" w:cs="仿宋_GB2312"/>
          <w:i w:val="0"/>
          <w:iCs w:val="0"/>
          <w:caps w:val="0"/>
          <w:color w:val="auto"/>
          <w:spacing w:val="0"/>
          <w:sz w:val="32"/>
          <w:szCs w:val="32"/>
          <w:shd w:val="clear" w:fill="auto"/>
        </w:rPr>
        <w:t>坚持规范监管和促进发展并重，不断拓展反不正当竞争执法深度和广度</w:t>
      </w:r>
      <w:r>
        <w:rPr>
          <w:rFonts w:hint="eastAsia" w:ascii="仿宋_GB2312" w:hAnsi="仿宋_GB2312" w:eastAsia="仿宋_GB2312" w:cs="仿宋_GB2312"/>
          <w:color w:val="auto"/>
          <w:kern w:val="2"/>
          <w:sz w:val="32"/>
          <w:szCs w:val="32"/>
          <w:lang w:val="en-US" w:eastAsia="zh-CN" w:bidi="ar-SA"/>
        </w:rPr>
        <w:t>通过提升常态化监管水平，全面促进消费提质升级，维护公平的市场秩序。</w:t>
      </w:r>
    </w:p>
    <w:p>
      <w:pPr>
        <w:keepNext w:val="0"/>
        <w:keepLines w:val="0"/>
        <w:pageBreakBefore w:val="0"/>
        <w:kinsoku/>
        <w:overflowPunct/>
        <w:topLinePunct w:val="0"/>
        <w:autoSpaceDE/>
        <w:autoSpaceDN/>
        <w:bidi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主责部门：</w:t>
      </w:r>
      <w:r>
        <w:rPr>
          <w:rFonts w:hint="eastAsia" w:ascii="仿宋_GB2312" w:hAnsi="仿宋_GB2312" w:eastAsia="仿宋_GB2312" w:cs="仿宋_GB2312"/>
          <w:color w:val="auto"/>
          <w:sz w:val="32"/>
          <w:szCs w:val="32"/>
          <w:lang w:val="en-US" w:eastAsia="zh-CN"/>
        </w:rPr>
        <w:t>执法十队</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配合部门：各市场监管所</w:t>
      </w:r>
    </w:p>
    <w:p>
      <w:pPr>
        <w:pStyle w:val="2"/>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29.持续开展涉企违规收费专项整治，配合推进涉企收费监测点建设。重点对政府部门及下属单位、行业协会商会、商业银行、天然气管网和供水等行业领域，加大监督检查的广度和深度，严厉查处违法违规收费行为，督促落实惠企优惠政策，依法查处不执行政府定价、指导价和违规乱收费行为，降低企业经营成本，优化营商环境。</w:t>
      </w:r>
    </w:p>
    <w:p>
      <w:pPr>
        <w:pStyle w:val="2"/>
        <w:keepNext w:val="0"/>
        <w:keepLines w:val="0"/>
        <w:pageBreakBefore w:val="0"/>
        <w:widowControl w:val="0"/>
        <w:kinsoku/>
        <w:wordWrap/>
        <w:overflowPunct/>
        <w:topLinePunct w:val="0"/>
        <w:autoSpaceDE/>
        <w:autoSpaceDN/>
        <w:bidi w:val="0"/>
        <w:adjustRightInd/>
        <w:spacing w:line="560" w:lineRule="exact"/>
        <w:ind w:firstLine="658"/>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主责部门：执法八队</w:t>
      </w:r>
    </w:p>
    <w:p>
      <w:pPr>
        <w:pStyle w:val="2"/>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配合部门：各市场监管所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F6EFC"/>
    <w:multiLevelType w:val="singleLevel"/>
    <w:tmpl w:val="DD9F6EF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33364D1A"/>
    <w:rsid w:val="000B3B63"/>
    <w:rsid w:val="001B46ED"/>
    <w:rsid w:val="00310975"/>
    <w:rsid w:val="00367C30"/>
    <w:rsid w:val="00373B0A"/>
    <w:rsid w:val="003A3432"/>
    <w:rsid w:val="0098533A"/>
    <w:rsid w:val="00A65FA9"/>
    <w:rsid w:val="00E46A6C"/>
    <w:rsid w:val="00EF57B4"/>
    <w:rsid w:val="0154649E"/>
    <w:rsid w:val="01A21C3B"/>
    <w:rsid w:val="01F6218C"/>
    <w:rsid w:val="02445A7A"/>
    <w:rsid w:val="026253B5"/>
    <w:rsid w:val="02766EC4"/>
    <w:rsid w:val="02EF1E8A"/>
    <w:rsid w:val="0379569E"/>
    <w:rsid w:val="03897674"/>
    <w:rsid w:val="03A93ABE"/>
    <w:rsid w:val="03CA6DCB"/>
    <w:rsid w:val="04003C23"/>
    <w:rsid w:val="0560121E"/>
    <w:rsid w:val="05C07B0D"/>
    <w:rsid w:val="05CF7D50"/>
    <w:rsid w:val="05ED12F7"/>
    <w:rsid w:val="05F00FB5"/>
    <w:rsid w:val="0653739D"/>
    <w:rsid w:val="06732D77"/>
    <w:rsid w:val="067D77AC"/>
    <w:rsid w:val="06E11AE9"/>
    <w:rsid w:val="06EF7070"/>
    <w:rsid w:val="07245E7A"/>
    <w:rsid w:val="073D2C5E"/>
    <w:rsid w:val="079C3DFF"/>
    <w:rsid w:val="083B0B8D"/>
    <w:rsid w:val="08AE286A"/>
    <w:rsid w:val="08B51480"/>
    <w:rsid w:val="08F63846"/>
    <w:rsid w:val="095011A8"/>
    <w:rsid w:val="096A31F1"/>
    <w:rsid w:val="0970082D"/>
    <w:rsid w:val="09B53A60"/>
    <w:rsid w:val="09C919B3"/>
    <w:rsid w:val="0A2914EB"/>
    <w:rsid w:val="0BBC48D3"/>
    <w:rsid w:val="0C2372ED"/>
    <w:rsid w:val="0C7451AE"/>
    <w:rsid w:val="0CBF7062"/>
    <w:rsid w:val="0D4B7595"/>
    <w:rsid w:val="0D4F2282"/>
    <w:rsid w:val="0DFB3FFA"/>
    <w:rsid w:val="0E013B15"/>
    <w:rsid w:val="0EA917EE"/>
    <w:rsid w:val="0F3164D0"/>
    <w:rsid w:val="0F470958"/>
    <w:rsid w:val="0FBC1346"/>
    <w:rsid w:val="0FDB3CB0"/>
    <w:rsid w:val="10266A44"/>
    <w:rsid w:val="10CF6478"/>
    <w:rsid w:val="111020F9"/>
    <w:rsid w:val="1351449B"/>
    <w:rsid w:val="135F7856"/>
    <w:rsid w:val="13A831F1"/>
    <w:rsid w:val="13D322AC"/>
    <w:rsid w:val="13EB3FA7"/>
    <w:rsid w:val="144D6A10"/>
    <w:rsid w:val="14E66B54"/>
    <w:rsid w:val="150A6B5C"/>
    <w:rsid w:val="150B2427"/>
    <w:rsid w:val="15A17663"/>
    <w:rsid w:val="15BB2882"/>
    <w:rsid w:val="15C0219B"/>
    <w:rsid w:val="166A3B11"/>
    <w:rsid w:val="16886B2B"/>
    <w:rsid w:val="16A20B69"/>
    <w:rsid w:val="16BC7326"/>
    <w:rsid w:val="16E53451"/>
    <w:rsid w:val="16EA2C3C"/>
    <w:rsid w:val="17525B6D"/>
    <w:rsid w:val="178A7F7B"/>
    <w:rsid w:val="17B07C80"/>
    <w:rsid w:val="17F35B20"/>
    <w:rsid w:val="18A00888"/>
    <w:rsid w:val="18C80D5B"/>
    <w:rsid w:val="190F28C2"/>
    <w:rsid w:val="19FCFD48"/>
    <w:rsid w:val="1A2D76BA"/>
    <w:rsid w:val="1A444411"/>
    <w:rsid w:val="1A4B7A97"/>
    <w:rsid w:val="1A500622"/>
    <w:rsid w:val="1AB84DFF"/>
    <w:rsid w:val="1B130845"/>
    <w:rsid w:val="1B1C2DE1"/>
    <w:rsid w:val="1B484DAE"/>
    <w:rsid w:val="1B7C0537"/>
    <w:rsid w:val="1B833F1E"/>
    <w:rsid w:val="1BD447EE"/>
    <w:rsid w:val="1BDE2644"/>
    <w:rsid w:val="1C004902"/>
    <w:rsid w:val="1C41230B"/>
    <w:rsid w:val="1C704477"/>
    <w:rsid w:val="1C726737"/>
    <w:rsid w:val="1C936342"/>
    <w:rsid w:val="1CBB153A"/>
    <w:rsid w:val="1CD65C77"/>
    <w:rsid w:val="1D5C1A72"/>
    <w:rsid w:val="1DCB7B40"/>
    <w:rsid w:val="1DE81A9D"/>
    <w:rsid w:val="1E965042"/>
    <w:rsid w:val="1E997EF8"/>
    <w:rsid w:val="1EC0660B"/>
    <w:rsid w:val="1ED16490"/>
    <w:rsid w:val="1F187B0D"/>
    <w:rsid w:val="1F1D7927"/>
    <w:rsid w:val="1F2732D5"/>
    <w:rsid w:val="1FBB1547"/>
    <w:rsid w:val="1FE346CD"/>
    <w:rsid w:val="207277FE"/>
    <w:rsid w:val="208E05CF"/>
    <w:rsid w:val="20C067BC"/>
    <w:rsid w:val="21612799"/>
    <w:rsid w:val="219C1AFB"/>
    <w:rsid w:val="21F3482E"/>
    <w:rsid w:val="21F67AFE"/>
    <w:rsid w:val="22075F89"/>
    <w:rsid w:val="22121299"/>
    <w:rsid w:val="22970B49"/>
    <w:rsid w:val="22B1460E"/>
    <w:rsid w:val="22C61EF5"/>
    <w:rsid w:val="22C72083"/>
    <w:rsid w:val="22E27E17"/>
    <w:rsid w:val="22E91603"/>
    <w:rsid w:val="22EA5D72"/>
    <w:rsid w:val="23711FEF"/>
    <w:rsid w:val="237D18ED"/>
    <w:rsid w:val="23D305B4"/>
    <w:rsid w:val="23DE4A5E"/>
    <w:rsid w:val="23E3616D"/>
    <w:rsid w:val="24261DBA"/>
    <w:rsid w:val="24462458"/>
    <w:rsid w:val="255A1AC7"/>
    <w:rsid w:val="255E1CBE"/>
    <w:rsid w:val="25853B30"/>
    <w:rsid w:val="25A235BF"/>
    <w:rsid w:val="264D464E"/>
    <w:rsid w:val="2689403E"/>
    <w:rsid w:val="26AF5308"/>
    <w:rsid w:val="277D0F63"/>
    <w:rsid w:val="27E61368"/>
    <w:rsid w:val="27F0524E"/>
    <w:rsid w:val="28B05368"/>
    <w:rsid w:val="28C64B8B"/>
    <w:rsid w:val="29CC4423"/>
    <w:rsid w:val="29D40F75"/>
    <w:rsid w:val="2A10425E"/>
    <w:rsid w:val="2A3209CA"/>
    <w:rsid w:val="2A8D2778"/>
    <w:rsid w:val="2AE8547C"/>
    <w:rsid w:val="2AF137B6"/>
    <w:rsid w:val="2B9351F9"/>
    <w:rsid w:val="2BBB7798"/>
    <w:rsid w:val="2BED05CF"/>
    <w:rsid w:val="2C491D5B"/>
    <w:rsid w:val="2CF37350"/>
    <w:rsid w:val="2D1F7029"/>
    <w:rsid w:val="2D2B704A"/>
    <w:rsid w:val="2D432576"/>
    <w:rsid w:val="2D485B6F"/>
    <w:rsid w:val="2D4F15F3"/>
    <w:rsid w:val="2D7C5F70"/>
    <w:rsid w:val="2D8B176D"/>
    <w:rsid w:val="2DE04943"/>
    <w:rsid w:val="2E1E740B"/>
    <w:rsid w:val="2E293BF2"/>
    <w:rsid w:val="2E361CCB"/>
    <w:rsid w:val="2E7D2FD4"/>
    <w:rsid w:val="2EA0162C"/>
    <w:rsid w:val="2EE144CD"/>
    <w:rsid w:val="2EF44483"/>
    <w:rsid w:val="2FF10740"/>
    <w:rsid w:val="30FE5354"/>
    <w:rsid w:val="3138414C"/>
    <w:rsid w:val="313C1796"/>
    <w:rsid w:val="31AE3EDE"/>
    <w:rsid w:val="33364D1A"/>
    <w:rsid w:val="33613960"/>
    <w:rsid w:val="33B4248D"/>
    <w:rsid w:val="33BE7F27"/>
    <w:rsid w:val="33CA19D4"/>
    <w:rsid w:val="33E5008C"/>
    <w:rsid w:val="340A108D"/>
    <w:rsid w:val="34A00986"/>
    <w:rsid w:val="351E1216"/>
    <w:rsid w:val="353774FA"/>
    <w:rsid w:val="357065D7"/>
    <w:rsid w:val="35A1347B"/>
    <w:rsid w:val="35DE52C2"/>
    <w:rsid w:val="35F03248"/>
    <w:rsid w:val="360A613B"/>
    <w:rsid w:val="361909F0"/>
    <w:rsid w:val="363754FB"/>
    <w:rsid w:val="367022FE"/>
    <w:rsid w:val="37735EDE"/>
    <w:rsid w:val="37A22587"/>
    <w:rsid w:val="37CE1367"/>
    <w:rsid w:val="37E90A73"/>
    <w:rsid w:val="38E16559"/>
    <w:rsid w:val="38E726E0"/>
    <w:rsid w:val="394774EA"/>
    <w:rsid w:val="394A4C3B"/>
    <w:rsid w:val="39893797"/>
    <w:rsid w:val="39980381"/>
    <w:rsid w:val="39C42319"/>
    <w:rsid w:val="3A2D05C6"/>
    <w:rsid w:val="3A377697"/>
    <w:rsid w:val="3A904CEE"/>
    <w:rsid w:val="3BFB30B9"/>
    <w:rsid w:val="3C033CD5"/>
    <w:rsid w:val="3C30785D"/>
    <w:rsid w:val="3C4829FA"/>
    <w:rsid w:val="3C66391B"/>
    <w:rsid w:val="3CEA09F1"/>
    <w:rsid w:val="3D373032"/>
    <w:rsid w:val="3DDA6CB7"/>
    <w:rsid w:val="3DE15D8D"/>
    <w:rsid w:val="3DFB059C"/>
    <w:rsid w:val="3E4660FB"/>
    <w:rsid w:val="3EA64327"/>
    <w:rsid w:val="3FB7263C"/>
    <w:rsid w:val="400238A8"/>
    <w:rsid w:val="40161AFD"/>
    <w:rsid w:val="4093314D"/>
    <w:rsid w:val="415B010F"/>
    <w:rsid w:val="41AD473A"/>
    <w:rsid w:val="42393F21"/>
    <w:rsid w:val="42591811"/>
    <w:rsid w:val="435C1F1C"/>
    <w:rsid w:val="438D2263"/>
    <w:rsid w:val="43AF4742"/>
    <w:rsid w:val="43EB4465"/>
    <w:rsid w:val="44BC20A4"/>
    <w:rsid w:val="44F468B0"/>
    <w:rsid w:val="451A4070"/>
    <w:rsid w:val="451E56DB"/>
    <w:rsid w:val="453A4352"/>
    <w:rsid w:val="455F74BA"/>
    <w:rsid w:val="458718ED"/>
    <w:rsid w:val="45E76415"/>
    <w:rsid w:val="46032C9A"/>
    <w:rsid w:val="46120473"/>
    <w:rsid w:val="46250CEB"/>
    <w:rsid w:val="462962D2"/>
    <w:rsid w:val="46A460B4"/>
    <w:rsid w:val="46A5056A"/>
    <w:rsid w:val="46BB6361"/>
    <w:rsid w:val="46F3585F"/>
    <w:rsid w:val="46FA2178"/>
    <w:rsid w:val="472B5EF6"/>
    <w:rsid w:val="487361F9"/>
    <w:rsid w:val="487B0359"/>
    <w:rsid w:val="493C4382"/>
    <w:rsid w:val="49443C52"/>
    <w:rsid w:val="497B0C92"/>
    <w:rsid w:val="49B61FF4"/>
    <w:rsid w:val="49DA2F0F"/>
    <w:rsid w:val="49E113CD"/>
    <w:rsid w:val="49EA64D4"/>
    <w:rsid w:val="4A1946C3"/>
    <w:rsid w:val="4AC12D34"/>
    <w:rsid w:val="4AC916E7"/>
    <w:rsid w:val="4B0709C0"/>
    <w:rsid w:val="4B1E0FC4"/>
    <w:rsid w:val="4B38650D"/>
    <w:rsid w:val="4B661B8A"/>
    <w:rsid w:val="4BE11211"/>
    <w:rsid w:val="4C7E73A7"/>
    <w:rsid w:val="4D4A6326"/>
    <w:rsid w:val="4D5D25BC"/>
    <w:rsid w:val="4DAE7B76"/>
    <w:rsid w:val="4DB84787"/>
    <w:rsid w:val="4DC4703C"/>
    <w:rsid w:val="4DF155DE"/>
    <w:rsid w:val="4E073763"/>
    <w:rsid w:val="4E425851"/>
    <w:rsid w:val="4E476188"/>
    <w:rsid w:val="4E685C19"/>
    <w:rsid w:val="4EFF0C5E"/>
    <w:rsid w:val="4F244236"/>
    <w:rsid w:val="4F4740A4"/>
    <w:rsid w:val="4FC122DD"/>
    <w:rsid w:val="502C6AEA"/>
    <w:rsid w:val="502F26C2"/>
    <w:rsid w:val="5031719C"/>
    <w:rsid w:val="50423FB3"/>
    <w:rsid w:val="50577CF3"/>
    <w:rsid w:val="50743CFB"/>
    <w:rsid w:val="50F533DB"/>
    <w:rsid w:val="510D6B9F"/>
    <w:rsid w:val="512D51C5"/>
    <w:rsid w:val="514C35D0"/>
    <w:rsid w:val="51A73BDA"/>
    <w:rsid w:val="521074C0"/>
    <w:rsid w:val="52157E66"/>
    <w:rsid w:val="521F2A93"/>
    <w:rsid w:val="52CC08E3"/>
    <w:rsid w:val="52FB1E59"/>
    <w:rsid w:val="5305612D"/>
    <w:rsid w:val="532E5683"/>
    <w:rsid w:val="534A32CC"/>
    <w:rsid w:val="53765A0F"/>
    <w:rsid w:val="537B33F0"/>
    <w:rsid w:val="53E53868"/>
    <w:rsid w:val="541F7405"/>
    <w:rsid w:val="546D21DB"/>
    <w:rsid w:val="54F40207"/>
    <w:rsid w:val="555667CB"/>
    <w:rsid w:val="55572544"/>
    <w:rsid w:val="55BD4A9D"/>
    <w:rsid w:val="55C776C9"/>
    <w:rsid w:val="55C951EF"/>
    <w:rsid w:val="56A95021"/>
    <w:rsid w:val="56FF4024"/>
    <w:rsid w:val="5726577F"/>
    <w:rsid w:val="57272B15"/>
    <w:rsid w:val="573E01CC"/>
    <w:rsid w:val="58376299"/>
    <w:rsid w:val="58EF03CE"/>
    <w:rsid w:val="59017C3F"/>
    <w:rsid w:val="597B4AB5"/>
    <w:rsid w:val="5A2D19F4"/>
    <w:rsid w:val="5AB567E2"/>
    <w:rsid w:val="5B637854"/>
    <w:rsid w:val="5BC2440D"/>
    <w:rsid w:val="5BE771F1"/>
    <w:rsid w:val="5C0276AD"/>
    <w:rsid w:val="5C1706E6"/>
    <w:rsid w:val="5C1E0B88"/>
    <w:rsid w:val="5C715C59"/>
    <w:rsid w:val="5CD56083"/>
    <w:rsid w:val="5CF07506"/>
    <w:rsid w:val="5CF52C0A"/>
    <w:rsid w:val="5D071558"/>
    <w:rsid w:val="5D1551BE"/>
    <w:rsid w:val="5D503EE9"/>
    <w:rsid w:val="5DF6395E"/>
    <w:rsid w:val="5E556A62"/>
    <w:rsid w:val="5E5B6B4A"/>
    <w:rsid w:val="5E7639CA"/>
    <w:rsid w:val="5F5031D4"/>
    <w:rsid w:val="5F95306B"/>
    <w:rsid w:val="6021768C"/>
    <w:rsid w:val="60236776"/>
    <w:rsid w:val="60502D06"/>
    <w:rsid w:val="606C77EB"/>
    <w:rsid w:val="610E21C1"/>
    <w:rsid w:val="619E49EF"/>
    <w:rsid w:val="61A426DB"/>
    <w:rsid w:val="61C91ABE"/>
    <w:rsid w:val="61DE133B"/>
    <w:rsid w:val="62090DF5"/>
    <w:rsid w:val="62442927"/>
    <w:rsid w:val="624F552B"/>
    <w:rsid w:val="62593D9F"/>
    <w:rsid w:val="629D403E"/>
    <w:rsid w:val="62FFF242"/>
    <w:rsid w:val="635D095A"/>
    <w:rsid w:val="64B259E8"/>
    <w:rsid w:val="64F72396"/>
    <w:rsid w:val="65D7575F"/>
    <w:rsid w:val="66061B48"/>
    <w:rsid w:val="665C5977"/>
    <w:rsid w:val="66823B40"/>
    <w:rsid w:val="66BB1946"/>
    <w:rsid w:val="66CE2F90"/>
    <w:rsid w:val="66D251CB"/>
    <w:rsid w:val="66F5053F"/>
    <w:rsid w:val="67B41727"/>
    <w:rsid w:val="67CC6DC1"/>
    <w:rsid w:val="67D619EE"/>
    <w:rsid w:val="68542368"/>
    <w:rsid w:val="68706AC8"/>
    <w:rsid w:val="68820FD3"/>
    <w:rsid w:val="68927B0C"/>
    <w:rsid w:val="68AF67A5"/>
    <w:rsid w:val="68F57FE2"/>
    <w:rsid w:val="68FC5484"/>
    <w:rsid w:val="69160588"/>
    <w:rsid w:val="6938470E"/>
    <w:rsid w:val="69403B00"/>
    <w:rsid w:val="69C01B1D"/>
    <w:rsid w:val="69C53AC8"/>
    <w:rsid w:val="69CC1AAF"/>
    <w:rsid w:val="6A451716"/>
    <w:rsid w:val="6A95385A"/>
    <w:rsid w:val="6AA42A41"/>
    <w:rsid w:val="6AE12B83"/>
    <w:rsid w:val="6AE85CC0"/>
    <w:rsid w:val="6B3E7FD6"/>
    <w:rsid w:val="6B4078AA"/>
    <w:rsid w:val="6B707ECF"/>
    <w:rsid w:val="6BA13152"/>
    <w:rsid w:val="6C0C1E82"/>
    <w:rsid w:val="6D4F0055"/>
    <w:rsid w:val="6D62756E"/>
    <w:rsid w:val="6D8F2A0E"/>
    <w:rsid w:val="6DB75E8E"/>
    <w:rsid w:val="6E274D51"/>
    <w:rsid w:val="6E444E12"/>
    <w:rsid w:val="6ED34446"/>
    <w:rsid w:val="6F062BB9"/>
    <w:rsid w:val="6F3F7424"/>
    <w:rsid w:val="6F7E2F3E"/>
    <w:rsid w:val="6F8E1640"/>
    <w:rsid w:val="6F9C4C99"/>
    <w:rsid w:val="70116F6F"/>
    <w:rsid w:val="7089584F"/>
    <w:rsid w:val="70DC6D53"/>
    <w:rsid w:val="7242215A"/>
    <w:rsid w:val="731735E6"/>
    <w:rsid w:val="733D0B73"/>
    <w:rsid w:val="73566680"/>
    <w:rsid w:val="739E605E"/>
    <w:rsid w:val="73C22557"/>
    <w:rsid w:val="73DA40C8"/>
    <w:rsid w:val="7441186B"/>
    <w:rsid w:val="746B06AA"/>
    <w:rsid w:val="74B17A6A"/>
    <w:rsid w:val="75C757AE"/>
    <w:rsid w:val="75E5336E"/>
    <w:rsid w:val="75F604AC"/>
    <w:rsid w:val="75F63144"/>
    <w:rsid w:val="75FC2F67"/>
    <w:rsid w:val="763141F3"/>
    <w:rsid w:val="765C1015"/>
    <w:rsid w:val="768571E4"/>
    <w:rsid w:val="7696510C"/>
    <w:rsid w:val="76982C90"/>
    <w:rsid w:val="781C344D"/>
    <w:rsid w:val="78411105"/>
    <w:rsid w:val="78450ED8"/>
    <w:rsid w:val="788D69B2"/>
    <w:rsid w:val="791C767D"/>
    <w:rsid w:val="79353074"/>
    <w:rsid w:val="793A63FE"/>
    <w:rsid w:val="796055D9"/>
    <w:rsid w:val="79B17BC5"/>
    <w:rsid w:val="79EB757B"/>
    <w:rsid w:val="79F301DD"/>
    <w:rsid w:val="7A115FA7"/>
    <w:rsid w:val="7A6B6017"/>
    <w:rsid w:val="7ADD6FB4"/>
    <w:rsid w:val="7ADE49EA"/>
    <w:rsid w:val="7AE0461A"/>
    <w:rsid w:val="7AF16E13"/>
    <w:rsid w:val="7B277485"/>
    <w:rsid w:val="7B2A28B0"/>
    <w:rsid w:val="7B713AB0"/>
    <w:rsid w:val="7BAF49B7"/>
    <w:rsid w:val="7C29201E"/>
    <w:rsid w:val="7C4F14B0"/>
    <w:rsid w:val="7C8141C6"/>
    <w:rsid w:val="7CC95E09"/>
    <w:rsid w:val="7CD10CAA"/>
    <w:rsid w:val="7CDB0023"/>
    <w:rsid w:val="7CEA786B"/>
    <w:rsid w:val="7D350FB4"/>
    <w:rsid w:val="7DD70FB1"/>
    <w:rsid w:val="7DE82FCB"/>
    <w:rsid w:val="7DFD162B"/>
    <w:rsid w:val="7E0429B9"/>
    <w:rsid w:val="7E3A6AC8"/>
    <w:rsid w:val="7E3B4522"/>
    <w:rsid w:val="7E6A3164"/>
    <w:rsid w:val="7F7D4AC0"/>
    <w:rsid w:val="7FFF2B76"/>
    <w:rsid w:val="BF3FE8C5"/>
    <w:rsid w:val="C7FBD378"/>
    <w:rsid w:val="CAC92D82"/>
    <w:rsid w:val="E9BFF907"/>
    <w:rsid w:val="F7FF17D9"/>
    <w:rsid w:val="FA7E718A"/>
    <w:rsid w:val="FF9FB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Body Text"/>
    <w:basedOn w:val="1"/>
    <w:next w:val="1"/>
    <w:unhideWhenUsed/>
    <w:qFormat/>
    <w:uiPriority w:val="0"/>
    <w:pPr>
      <w:spacing w:after="120"/>
      <w:ind w:firstLine="960" w:firstLineChars="300"/>
    </w:pPr>
    <w:rPr>
      <w:rFonts w:ascii="仿宋_GB2312" w:eastAsia="仿宋_GB2312"/>
      <w:kern w:val="0"/>
      <w:sz w:val="32"/>
      <w:szCs w:val="32"/>
    </w:rPr>
  </w:style>
  <w:style w:type="paragraph" w:styleId="6">
    <w:name w:val="Block Text"/>
    <w:basedOn w:val="1"/>
    <w:unhideWhenUsed/>
    <w:qFormat/>
    <w:uiPriority w:val="99"/>
    <w:pPr>
      <w:spacing w:after="120"/>
      <w:ind w:left="1440" w:leftChars="700" w:right="1440" w:rightChars="700"/>
    </w:pPr>
  </w:style>
  <w:style w:type="paragraph" w:styleId="7">
    <w:name w:val="Plain Text"/>
    <w:basedOn w:val="1"/>
    <w:next w:val="1"/>
    <w:qFormat/>
    <w:uiPriority w:val="0"/>
    <w:rPr>
      <w:rFonts w:ascii="宋体" w:hAnsi="Courier New" w:eastAsia="等线" w:cs="黑体"/>
      <w:szCs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2"/>
    <w:basedOn w:val="1"/>
    <w:unhideWhenUsed/>
    <w:qFormat/>
    <w:uiPriority w:val="99"/>
    <w:pPr>
      <w:spacing w:after="120" w:line="480" w:lineRule="auto"/>
    </w:pPr>
    <w:rPr>
      <w:rFonts w:ascii="Arial" w:hAnsi="Arial"/>
      <w:szCs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PlainText"/>
    <w:basedOn w:val="1"/>
    <w:next w:val="1"/>
    <w:qFormat/>
    <w:uiPriority w:val="0"/>
    <w:pPr>
      <w:textAlignment w:val="baseline"/>
    </w:pPr>
    <w:rPr>
      <w:rFonts w:ascii="宋体" w:hAnsi="Courier New"/>
      <w:szCs w:val="21"/>
    </w:rPr>
  </w:style>
  <w:style w:type="paragraph" w:customStyle="1" w:styleId="15">
    <w:name w:val="toc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2336</Words>
  <Characters>2408</Characters>
  <Lines>114</Lines>
  <Paragraphs>54</Paragraphs>
  <TotalTime>19</TotalTime>
  <ScaleCrop>false</ScaleCrop>
  <LinksUpToDate>false</LinksUpToDate>
  <CharactersWithSpaces>4690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2024-09-25T22:53:00Z</dcterms:created>
  <dc:creator>user</dc:creator>
  <cp:lastModifiedBy>user</cp:lastModifiedBy>
  <cp:lastPrinted>2024-11-26T18:26:00Z</cp:lastPrinted>
  <dcterms:modified xsi:type="dcterms:W3CDTF">2024-11-26T16:14:40Z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A6AE795491314CD9AF4338A1CE6A238A_13</vt:lpwstr>
  </property>
</Properties>
</file>