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8B7E" w14:textId="77777777" w:rsidR="00680CB6" w:rsidRPr="00277B62" w:rsidRDefault="00680CB6" w:rsidP="00CC6B7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6531D9B" w14:textId="62F9190F" w:rsidR="00E6569A" w:rsidRPr="00E6569A" w:rsidRDefault="00000000" w:rsidP="00CC6B7C">
      <w:pPr>
        <w:suppressAutoHyphens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关于《</w:t>
      </w:r>
      <w:r w:rsidR="00E6569A" w:rsidRPr="00E6569A">
        <w:rPr>
          <w:rFonts w:ascii="方正小标宋简体" w:eastAsia="方正小标宋简体" w:hint="eastAsia"/>
          <w:sz w:val="44"/>
          <w:szCs w:val="44"/>
        </w:rPr>
        <w:t>北京城市副中心打造全域场景创新</w:t>
      </w:r>
      <w:r w:rsidR="00AE6E14" w:rsidRPr="00AE6E14">
        <w:rPr>
          <w:rFonts w:ascii="方正小标宋简体" w:eastAsia="方正小标宋简体" w:hint="eastAsia"/>
          <w:sz w:val="44"/>
          <w:szCs w:val="44"/>
        </w:rPr>
        <w:t>之城</w:t>
      </w:r>
    </w:p>
    <w:p w14:paraId="2BB27A6A" w14:textId="1744A1A7" w:rsidR="00680CB6" w:rsidRDefault="00E6569A" w:rsidP="00CC6B7C">
      <w:pPr>
        <w:suppressAutoHyphens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宋体" w:hint="eastAsia"/>
          <w:bCs/>
          <w:sz w:val="44"/>
          <w:szCs w:val="44"/>
        </w:rPr>
      </w:pPr>
      <w:r w:rsidRPr="00E6569A">
        <w:rPr>
          <w:rFonts w:ascii="方正小标宋简体" w:eastAsia="方正小标宋简体" w:hint="eastAsia"/>
          <w:sz w:val="44"/>
          <w:szCs w:val="44"/>
        </w:rPr>
        <w:t>实施方案</w:t>
      </w: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》</w:t>
      </w:r>
      <w:r w:rsidR="00A54E3E">
        <w:rPr>
          <w:rFonts w:ascii="方正小标宋简体" w:eastAsia="方正小标宋简体" w:hAnsi="华文中宋" w:cs="宋体" w:hint="eastAsia"/>
          <w:bCs/>
          <w:sz w:val="44"/>
          <w:szCs w:val="44"/>
        </w:rPr>
        <w:t>（征求意见稿）</w:t>
      </w: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的起草说明</w:t>
      </w:r>
    </w:p>
    <w:p w14:paraId="790F0E1E" w14:textId="77777777" w:rsidR="00680CB6" w:rsidRDefault="00680CB6" w:rsidP="00CC6B7C">
      <w:pPr>
        <w:pStyle w:val="2"/>
        <w:spacing w:after="0" w:line="560" w:lineRule="exact"/>
        <w:ind w:leftChars="0" w:left="0" w:firstLineChars="0" w:firstLine="0"/>
        <w:jc w:val="lef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519D9E64" w14:textId="77777777" w:rsidR="00680CB6" w:rsidRPr="00277B62" w:rsidRDefault="00000000" w:rsidP="00CC6B7C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 w:hint="eastAsia"/>
          <w:sz w:val="32"/>
          <w:szCs w:val="32"/>
        </w:rPr>
      </w:pPr>
      <w:r w:rsidRPr="00277B62">
        <w:rPr>
          <w:rFonts w:ascii="黑体" w:eastAsia="黑体" w:hAnsi="黑体" w:cs="黑体" w:hint="eastAsia"/>
          <w:sz w:val="32"/>
          <w:szCs w:val="32"/>
        </w:rPr>
        <w:t>一、制定背景</w:t>
      </w:r>
    </w:p>
    <w:p w14:paraId="2F9635B7" w14:textId="52C06BD6" w:rsidR="00680CB6" w:rsidRPr="00277B62" w:rsidRDefault="00277B62" w:rsidP="00CC6B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77B62">
        <w:rPr>
          <w:rFonts w:ascii="仿宋_GB2312" w:eastAsia="仿宋_GB2312" w:hAnsi="仿宋_GB2312" w:cs="仿宋_GB2312" w:hint="eastAsia"/>
          <w:sz w:val="32"/>
          <w:szCs w:val="32"/>
        </w:rPr>
        <w:t>为优化副中心产业结构，培育特色优势产业集群，促进全区产业提档升级，重塑招商体系，探索招商育商新模式，</w:t>
      </w:r>
      <w:r w:rsidR="00A54E3E" w:rsidRPr="00277B62">
        <w:rPr>
          <w:rFonts w:ascii="仿宋_GB2312" w:eastAsia="仿宋_GB2312" w:hAnsi="仿宋_GB2312" w:cs="仿宋_GB2312" w:hint="eastAsia"/>
          <w:sz w:val="32"/>
          <w:szCs w:val="32"/>
        </w:rPr>
        <w:t>特制定本《</w:t>
      </w:r>
      <w:r w:rsidR="00E6569A" w:rsidRPr="00277B62">
        <w:rPr>
          <w:rFonts w:ascii="仿宋_GB2312" w:eastAsia="仿宋_GB2312" w:hAnsi="仿宋_GB2312" w:cs="仿宋_GB2312" w:hint="eastAsia"/>
          <w:sz w:val="32"/>
          <w:szCs w:val="32"/>
        </w:rPr>
        <w:t>实施方案》。</w:t>
      </w:r>
    </w:p>
    <w:p w14:paraId="7DF9E35F" w14:textId="0D6BFC95" w:rsidR="00277B62" w:rsidRPr="00277B62" w:rsidRDefault="00CC6B7C" w:rsidP="00CC6B7C">
      <w:pPr>
        <w:widowControl/>
        <w:suppressAutoHyphens/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277B62" w:rsidRPr="00277B62">
        <w:rPr>
          <w:rFonts w:ascii="黑体" w:eastAsia="黑体" w:hAnsi="黑体" w:cs="黑体" w:hint="eastAsia"/>
          <w:sz w:val="32"/>
          <w:szCs w:val="32"/>
        </w:rPr>
        <w:t>、主要内容</w:t>
      </w:r>
    </w:p>
    <w:p w14:paraId="26A3DC00" w14:textId="1075458D" w:rsidR="008B08A3" w:rsidRPr="00277B62" w:rsidRDefault="008B08A3" w:rsidP="00CC6B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77B62">
        <w:rPr>
          <w:rFonts w:ascii="仿宋_GB2312" w:eastAsia="仿宋_GB2312" w:hAnsi="仿宋_GB2312" w:cs="仿宋_GB2312" w:hint="eastAsia"/>
          <w:sz w:val="32"/>
          <w:szCs w:val="32"/>
        </w:rPr>
        <w:t>《实施方案》共分为总体要求、重点任务、保障措施3部分。</w:t>
      </w:r>
    </w:p>
    <w:p w14:paraId="773BC563" w14:textId="77777777" w:rsidR="008B08A3" w:rsidRPr="00277B62" w:rsidRDefault="008B08A3" w:rsidP="00CC6B7C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  <w:szCs w:val="32"/>
        </w:rPr>
      </w:pPr>
      <w:r w:rsidRPr="00277B62">
        <w:rPr>
          <w:rFonts w:ascii="楷体_GB2312" w:eastAsia="楷体_GB2312" w:hAnsi="楷体_GB2312" w:cs="楷体_GB2312" w:hint="eastAsia"/>
          <w:sz w:val="32"/>
          <w:szCs w:val="32"/>
        </w:rPr>
        <w:t>（一）总体要求</w:t>
      </w:r>
    </w:p>
    <w:p w14:paraId="4B105B8E" w14:textId="41A8BC0B" w:rsidR="008B08A3" w:rsidRPr="00277B62" w:rsidRDefault="008B08A3" w:rsidP="00CC6B7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277B6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指导思想。</w:t>
      </w:r>
      <w:r w:rsidR="0085297F" w:rsidRPr="0085297F">
        <w:rPr>
          <w:rFonts w:eastAsia="仿宋_GB2312" w:hint="eastAsia"/>
          <w:sz w:val="32"/>
          <w:szCs w:val="32"/>
        </w:rPr>
        <w:t>深入答好市委“二十年之问”，认真落实区委“</w:t>
      </w:r>
      <w:r w:rsidR="0085297F" w:rsidRPr="0085297F">
        <w:rPr>
          <w:rFonts w:eastAsia="仿宋_GB2312" w:hint="eastAsia"/>
          <w:sz w:val="32"/>
          <w:szCs w:val="32"/>
        </w:rPr>
        <w:t>11311</w:t>
      </w:r>
      <w:r w:rsidR="0085297F" w:rsidRPr="0085297F">
        <w:rPr>
          <w:rFonts w:eastAsia="仿宋_GB2312" w:hint="eastAsia"/>
          <w:sz w:val="32"/>
          <w:szCs w:val="32"/>
        </w:rPr>
        <w:t>”工作体系，以场景创新赋能副中心高质量发展为主线，构建“</w:t>
      </w:r>
      <w:r w:rsidR="0085297F" w:rsidRPr="0085297F">
        <w:rPr>
          <w:rFonts w:eastAsia="仿宋_GB2312" w:hint="eastAsia"/>
          <w:sz w:val="32"/>
          <w:szCs w:val="32"/>
        </w:rPr>
        <w:t>434</w:t>
      </w:r>
      <w:r w:rsidR="0085297F" w:rsidRPr="0085297F">
        <w:rPr>
          <w:rFonts w:eastAsia="仿宋_GB2312" w:hint="eastAsia"/>
          <w:sz w:val="32"/>
          <w:szCs w:val="32"/>
        </w:rPr>
        <w:t>”全域场景创新工作总体架构，聚焦科技创新、重大项目、政策机制、消费创新四类场景，部署经济发展、社会治理、城市建设三类重点任务，完善全区域、全领域、全社会、全流程场景创新“四全”工作体系，导入科创资源、重塑招商体系、赋能企业发展、促进产业集聚，打造新城市、新科技、新产业、新生活高度融合的未来城市场景蓝图。</w:t>
      </w:r>
    </w:p>
    <w:p w14:paraId="4D952257" w14:textId="7779461B" w:rsidR="008B08A3" w:rsidRPr="00277B62" w:rsidRDefault="008B08A3" w:rsidP="00CC6B7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277B6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基本原则。</w:t>
      </w:r>
      <w:r w:rsidR="0085297F" w:rsidRPr="0085297F">
        <w:rPr>
          <w:rFonts w:ascii="仿宋_GB2312" w:eastAsia="仿宋_GB2312" w:hAnsi="仿宋_GB2312" w:cs="仿宋_GB2312" w:hint="eastAsia"/>
          <w:sz w:val="32"/>
          <w:szCs w:val="32"/>
        </w:rPr>
        <w:t>坚持创新引领，发挥场景创新串联科创资源与产业集群作用。坚持特色突出，挖掘四类场景，突出千亿固投和文旅消费两大优势，变城市建设红利和历史文化积淀为招商育商资</w:t>
      </w:r>
      <w:r w:rsidR="0085297F" w:rsidRPr="008529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源。坚持供需联动，机会能力双向发展，推动资源有效协同，实现“双找双引”。坚持全域协同，通过“四全”工作体系，实现高效率、高水平、高质量协同创新。</w:t>
      </w:r>
    </w:p>
    <w:p w14:paraId="6D532F95" w14:textId="4A6AF774" w:rsidR="008B08A3" w:rsidRPr="00277B62" w:rsidRDefault="008B08A3" w:rsidP="00CC6B7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277B6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发展目标。</w:t>
      </w:r>
      <w:r w:rsidR="00A3047A" w:rsidRPr="00A3047A">
        <w:rPr>
          <w:rFonts w:ascii="仿宋_GB2312" w:eastAsia="仿宋_GB2312" w:hAnsi="仿宋_GB2312" w:cs="仿宋_GB2312" w:hint="eastAsia"/>
          <w:sz w:val="32"/>
          <w:szCs w:val="32"/>
        </w:rPr>
        <w:t>按照“一年见成效、两年树标杆、三年全提升”工作思路，分步骤、分阶段推进场景创新工作。实施“场景双百”行动，每年挖掘场景机会不少于100项，推介场景能力不少于100项。2025年，服务链接不少于300家企业，完善工作机制，打通工作流程，场景开放应用初见成效，打响副中心场景品牌；2026年，服务链接不少于400家企业，累计打造不少于10个具有副中心特色的标杆场景，通过树标杆、评典型，显著提升社会参与度；2027年，服务链接不少于500家企业，实现场景招商育商，提升治理效能，推动形成“全区域开放、全领域赋能、全社会参与、全流程协同”的场景创新生态，全面提升场景创新能力和应用水平，以场景创新支撑引领副中心产业高质量发展。</w:t>
      </w:r>
    </w:p>
    <w:p w14:paraId="2B554803" w14:textId="77777777" w:rsidR="008B08A3" w:rsidRPr="00277B62" w:rsidRDefault="008B08A3" w:rsidP="00CC6B7C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  <w:szCs w:val="32"/>
        </w:rPr>
      </w:pPr>
      <w:r w:rsidRPr="00277B62">
        <w:rPr>
          <w:rFonts w:ascii="楷体_GB2312" w:eastAsia="楷体_GB2312" w:hAnsi="楷体_GB2312" w:cs="楷体_GB2312" w:hint="eastAsia"/>
          <w:sz w:val="32"/>
          <w:szCs w:val="32"/>
        </w:rPr>
        <w:t>（二）重点任务</w:t>
      </w:r>
    </w:p>
    <w:p w14:paraId="01B86FB0" w14:textId="1B808DF4" w:rsidR="008B08A3" w:rsidRPr="00277B62" w:rsidRDefault="0058032A" w:rsidP="00CC6B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8032A">
        <w:rPr>
          <w:rFonts w:ascii="仿宋_GB2312" w:eastAsia="仿宋_GB2312" w:hAnsi="仿宋_GB2312" w:cs="仿宋_GB2312" w:hint="eastAsia"/>
          <w:sz w:val="32"/>
          <w:szCs w:val="32"/>
        </w:rPr>
        <w:t>围绕场景创新赋能经济、社会、城市三大领域部署16项重点建设任务。</w:t>
      </w:r>
      <w:r w:rsidRPr="0058032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一是场景创新赋能经济高质量发展，</w:t>
      </w:r>
      <w:r w:rsidRPr="0058032A">
        <w:rPr>
          <w:rFonts w:ascii="仿宋_GB2312" w:eastAsia="仿宋_GB2312" w:hAnsi="仿宋_GB2312" w:cs="仿宋_GB2312" w:hint="eastAsia"/>
          <w:sz w:val="32"/>
          <w:szCs w:val="32"/>
        </w:rPr>
        <w:t>围绕数字经济、现代金融、先进制造、商务服务、文化旅游、现代种业、建筑业等主导产业，主动为优质企业谋项目、对资源、拓市场，将场景创新变成招商育商、企业发展的“助推器”。</w:t>
      </w:r>
      <w:r w:rsidRPr="0058032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二是场景创新赋能社会高效能治理，</w:t>
      </w:r>
      <w:r w:rsidRPr="0058032A">
        <w:rPr>
          <w:rFonts w:ascii="仿宋_GB2312" w:eastAsia="仿宋_GB2312" w:hAnsi="仿宋_GB2312" w:cs="仿宋_GB2312" w:hint="eastAsia"/>
          <w:sz w:val="32"/>
          <w:szCs w:val="32"/>
        </w:rPr>
        <w:t>在智慧政府、数字化社区、智慧医疗、智慧教育、智慧交通、智慧应急等社会治理领域，以场景为“小切口”，</w:t>
      </w:r>
      <w:r w:rsidRPr="0058032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动员行业部门主动挖掘业务痛点、释放场景机会、导入科创资源，让更多优质企业参与副中心社会治理场景建设，增加企业粘性。</w:t>
      </w:r>
      <w:r w:rsidRPr="0058032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三是场景创新赋能城市高水平建设，</w:t>
      </w:r>
      <w:r w:rsidRPr="0058032A">
        <w:rPr>
          <w:rFonts w:ascii="仿宋_GB2312" w:eastAsia="仿宋_GB2312" w:hAnsi="仿宋_GB2312" w:cs="仿宋_GB2312" w:hint="eastAsia"/>
          <w:sz w:val="32"/>
          <w:szCs w:val="32"/>
        </w:rPr>
        <w:t>突出副中心千亿固投项目特色，通过政策制度创新，将场景思维嵌入企业招商、土地供给、项目谋划、审批流程、建设实施、服务运营等全流程。突出标杆效应，围绕文化示范、消费示范、产业示范、科技示范等四类示范，打造大运河文化新IP、文旅国际消费新IP、张家湾多形态产业示范区、高线公园前沿科技集成展示会客厅等一批场景创新示范区。</w:t>
      </w:r>
    </w:p>
    <w:p w14:paraId="1BA16930" w14:textId="77777777" w:rsidR="008B08A3" w:rsidRPr="00277B62" w:rsidRDefault="008B08A3" w:rsidP="00CC6B7C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  <w:szCs w:val="32"/>
        </w:rPr>
      </w:pPr>
      <w:r w:rsidRPr="00277B62">
        <w:rPr>
          <w:rFonts w:ascii="楷体_GB2312" w:eastAsia="楷体_GB2312" w:hAnsi="楷体_GB2312" w:cs="楷体_GB2312" w:hint="eastAsia"/>
          <w:sz w:val="32"/>
          <w:szCs w:val="32"/>
        </w:rPr>
        <w:t>（三）保障措施</w:t>
      </w:r>
    </w:p>
    <w:p w14:paraId="0B872681" w14:textId="03A2E533" w:rsidR="0058032A" w:rsidRPr="0058032A" w:rsidRDefault="0058032A" w:rsidP="00CC6B7C">
      <w:pPr>
        <w:pStyle w:val="a0"/>
        <w:spacing w:line="560" w:lineRule="exact"/>
        <w:ind w:firstLine="640"/>
      </w:pPr>
      <w:r w:rsidRPr="0058032A">
        <w:rPr>
          <w:rFonts w:ascii="仿宋_GB2312" w:eastAsia="仿宋_GB2312" w:hAnsi="仿宋_GB2312" w:cs="仿宋_GB2312" w:hint="eastAsia"/>
          <w:sz w:val="32"/>
          <w:szCs w:val="32"/>
        </w:rPr>
        <w:t>为保证全域场景创新之城建设工程各项任务顺利实施，从加强组织领导、开放要素空间、强化政策保障、组织宣传推广等方面制定保障措施，确保全域场景创新之城建设各项任务与目标顺利完成。</w:t>
      </w:r>
    </w:p>
    <w:p w14:paraId="09A7A0E7" w14:textId="02C58D04" w:rsidR="00D21716" w:rsidRPr="0058032A" w:rsidRDefault="00CC6B7C" w:rsidP="00CC6B7C">
      <w:pPr>
        <w:widowControl/>
        <w:spacing w:line="560" w:lineRule="exact"/>
        <w:ind w:firstLineChars="200" w:firstLine="640"/>
        <w:jc w:val="left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D21716" w:rsidRPr="005803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、发布方式</w:t>
      </w:r>
    </w:p>
    <w:p w14:paraId="054E68A3" w14:textId="52B0F32B" w:rsidR="00680CB6" w:rsidRPr="008B08A3" w:rsidRDefault="00D21716" w:rsidP="00CC6B7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CC6B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</w:t>
      </w:r>
      <w:r w:rsidR="00CC6B7C" w:rsidRPr="00CC6B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实施方案</w:t>
      </w:r>
      <w:r w:rsidRPr="00CC6B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》拟以</w:t>
      </w:r>
      <w:r w:rsidR="0085297F" w:rsidRPr="00CC6B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通州区政府办</w:t>
      </w:r>
      <w:r w:rsidRPr="00CC6B7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名义印发。文件出台后，</w:t>
      </w:r>
      <w:r w:rsidRPr="00277B6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我委将切实做好落实工作，</w:t>
      </w:r>
      <w:r w:rsidR="0085297F" w:rsidRPr="008529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以场景工作为抓手</w:t>
      </w:r>
      <w:r w:rsidR="005803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不断</w:t>
      </w:r>
      <w:r w:rsidR="0085297F" w:rsidRPr="008529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增强产业发展内生动力，进一步提升场景工作</w:t>
      </w:r>
      <w:r w:rsidR="005803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</w:t>
      </w:r>
      <w:r w:rsidR="0085297F" w:rsidRPr="008529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产业高质量发展</w:t>
      </w:r>
      <w:r w:rsidR="005803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58032A" w:rsidRPr="008529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支撑</w:t>
      </w:r>
      <w:r w:rsidR="0085297F" w:rsidRPr="008529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作用，尽快在副中心培育形成代表新质生产力发展方向的产业集群。</w:t>
      </w:r>
    </w:p>
    <w:p w14:paraId="2C10FB89" w14:textId="2E9690BC" w:rsidR="00680CB6" w:rsidRPr="008B08A3" w:rsidRDefault="00D21716" w:rsidP="00CC6B7C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</w:t>
      </w:r>
      <w:r w:rsidRPr="008B08A3">
        <w:rPr>
          <w:rFonts w:ascii="仿宋_GB2312" w:eastAsia="仿宋_GB2312" w:hAnsi="仿宋_GB2312" w:cs="仿宋_GB2312" w:hint="eastAsia"/>
          <w:sz w:val="32"/>
          <w:szCs w:val="32"/>
        </w:rPr>
        <w:t>通州区发展和改革委员会</w:t>
      </w:r>
    </w:p>
    <w:p w14:paraId="228E8F73" w14:textId="2D7894F1" w:rsidR="00680CB6" w:rsidRDefault="00000000" w:rsidP="00CC6B7C">
      <w:pPr>
        <w:pStyle w:val="2"/>
        <w:spacing w:after="0" w:line="560" w:lineRule="exact"/>
        <w:ind w:leftChars="0" w:left="0" w:firstLineChars="1600" w:firstLine="512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F0675E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0675E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="00D2171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80CB6">
      <w:footerReference w:type="default" r:id="rId8"/>
      <w:pgSz w:w="11906" w:h="16838"/>
      <w:pgMar w:top="2098" w:right="1474" w:bottom="1984" w:left="1587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6C0F" w14:textId="77777777" w:rsidR="00260589" w:rsidRDefault="00260589">
      <w:r>
        <w:separator/>
      </w:r>
    </w:p>
  </w:endnote>
  <w:endnote w:type="continuationSeparator" w:id="0">
    <w:p w14:paraId="170C1761" w14:textId="77777777" w:rsidR="00260589" w:rsidRDefault="002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21DF" w14:textId="77777777" w:rsidR="00680CB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32645" wp14:editId="14FFEC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9FC07" w14:textId="77777777" w:rsidR="00680CB6" w:rsidRDefault="00000000">
                          <w:pPr>
                            <w:pStyle w:val="a5"/>
                            <w:wordWrap w:val="0"/>
                            <w:jc w:val="right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326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19FC07" w14:textId="77777777" w:rsidR="00680CB6" w:rsidRDefault="00000000">
                    <w:pPr>
                      <w:pStyle w:val="a5"/>
                      <w:wordWrap w:val="0"/>
                      <w:jc w:val="right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6F42" w14:textId="77777777" w:rsidR="00260589" w:rsidRDefault="00260589">
      <w:r>
        <w:separator/>
      </w:r>
    </w:p>
  </w:footnote>
  <w:footnote w:type="continuationSeparator" w:id="0">
    <w:p w14:paraId="1619C415" w14:textId="77777777" w:rsidR="00260589" w:rsidRDefault="0026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7ECF50"/>
    <w:multiLevelType w:val="singleLevel"/>
    <w:tmpl w:val="BE7ECF5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4114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418A9"/>
    <w:rsid w:val="FF49B58F"/>
    <w:rsid w:val="FFDD8660"/>
    <w:rsid w:val="000A3096"/>
    <w:rsid w:val="00260589"/>
    <w:rsid w:val="00277B62"/>
    <w:rsid w:val="0035527F"/>
    <w:rsid w:val="004670FA"/>
    <w:rsid w:val="0058032A"/>
    <w:rsid w:val="006227B3"/>
    <w:rsid w:val="00680CB6"/>
    <w:rsid w:val="006F5B00"/>
    <w:rsid w:val="007A3F65"/>
    <w:rsid w:val="00836A9C"/>
    <w:rsid w:val="0085297F"/>
    <w:rsid w:val="008B08A3"/>
    <w:rsid w:val="008C6C07"/>
    <w:rsid w:val="00991F65"/>
    <w:rsid w:val="00A3047A"/>
    <w:rsid w:val="00A54E3E"/>
    <w:rsid w:val="00A6578E"/>
    <w:rsid w:val="00A756A1"/>
    <w:rsid w:val="00AE6E14"/>
    <w:rsid w:val="00B22260"/>
    <w:rsid w:val="00BF216F"/>
    <w:rsid w:val="00CC6B7C"/>
    <w:rsid w:val="00D21716"/>
    <w:rsid w:val="00E6569A"/>
    <w:rsid w:val="00F0675E"/>
    <w:rsid w:val="00FD56DE"/>
    <w:rsid w:val="0265517B"/>
    <w:rsid w:val="03FA4198"/>
    <w:rsid w:val="0434059C"/>
    <w:rsid w:val="0661143D"/>
    <w:rsid w:val="074C44D7"/>
    <w:rsid w:val="079E600F"/>
    <w:rsid w:val="07C571F6"/>
    <w:rsid w:val="09D42B00"/>
    <w:rsid w:val="0B8B10F9"/>
    <w:rsid w:val="11066F74"/>
    <w:rsid w:val="11A966D3"/>
    <w:rsid w:val="11B82D60"/>
    <w:rsid w:val="14BE147F"/>
    <w:rsid w:val="14C431BE"/>
    <w:rsid w:val="154F64A6"/>
    <w:rsid w:val="167B2B32"/>
    <w:rsid w:val="17401688"/>
    <w:rsid w:val="1B760F06"/>
    <w:rsid w:val="1B944942"/>
    <w:rsid w:val="1F29747E"/>
    <w:rsid w:val="203851D6"/>
    <w:rsid w:val="206621F5"/>
    <w:rsid w:val="24F37D92"/>
    <w:rsid w:val="277F7645"/>
    <w:rsid w:val="295827FE"/>
    <w:rsid w:val="30262A1E"/>
    <w:rsid w:val="3057608E"/>
    <w:rsid w:val="31900A96"/>
    <w:rsid w:val="31AE4FB0"/>
    <w:rsid w:val="32E91F96"/>
    <w:rsid w:val="3A08289D"/>
    <w:rsid w:val="3FD37D33"/>
    <w:rsid w:val="45C23FAF"/>
    <w:rsid w:val="45E4379A"/>
    <w:rsid w:val="468E118E"/>
    <w:rsid w:val="49DF720C"/>
    <w:rsid w:val="4B6B1C7D"/>
    <w:rsid w:val="4E1F2324"/>
    <w:rsid w:val="50756F26"/>
    <w:rsid w:val="515F6A8F"/>
    <w:rsid w:val="51DB5060"/>
    <w:rsid w:val="570D29FA"/>
    <w:rsid w:val="5B5E009C"/>
    <w:rsid w:val="5C3A36E2"/>
    <w:rsid w:val="5DDB2690"/>
    <w:rsid w:val="5E01153E"/>
    <w:rsid w:val="636A3A64"/>
    <w:rsid w:val="64D437F0"/>
    <w:rsid w:val="667C7971"/>
    <w:rsid w:val="67600D68"/>
    <w:rsid w:val="67EA6C47"/>
    <w:rsid w:val="68446ABC"/>
    <w:rsid w:val="6AD71222"/>
    <w:rsid w:val="6D2A4160"/>
    <w:rsid w:val="6E2D37B4"/>
    <w:rsid w:val="718E0B33"/>
    <w:rsid w:val="71A804F2"/>
    <w:rsid w:val="72B923BC"/>
    <w:rsid w:val="798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C80FD"/>
  <w15:docId w15:val="{9B8D0A66-02D5-412B-9DBA-7FE19B0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77B6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basedOn w:val="a"/>
    <w:next w:val="a"/>
    <w:qFormat/>
    <w:pPr>
      <w:spacing w:after="120"/>
      <w:ind w:leftChars="200" w:left="4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qFormat/>
    <w:pPr>
      <w:ind w:left="3360"/>
      <w:jc w:val="left"/>
    </w:pPr>
  </w:style>
  <w:style w:type="paragraph" w:styleId="a7">
    <w:name w:val="Normal (Web)"/>
    <w:basedOn w:val="a"/>
    <w:qFormat/>
    <w:rPr>
      <w:sz w:val="24"/>
    </w:rPr>
  </w:style>
  <w:style w:type="paragraph" w:styleId="2">
    <w:name w:val="Body Text First Indent 2"/>
    <w:basedOn w:val="a4"/>
    <w:next w:val="a"/>
    <w:qFormat/>
    <w:pPr>
      <w:adjustRightInd w:val="0"/>
      <w:spacing w:line="360" w:lineRule="atLeast"/>
      <w:ind w:firstLineChars="200" w:firstLine="420"/>
      <w:textAlignment w:val="baseline"/>
    </w:pPr>
    <w:rPr>
      <w:rFonts w:ascii="Calibri" w:hAnsi="Calibri"/>
    </w:rPr>
  </w:style>
  <w:style w:type="character" w:styleId="a8">
    <w:name w:val="Strong"/>
    <w:qFormat/>
    <w:rPr>
      <w:b/>
    </w:rPr>
  </w:style>
  <w:style w:type="paragraph" w:styleId="a9">
    <w:name w:val="Revision"/>
    <w:hidden/>
    <w:uiPriority w:val="99"/>
    <w:unhideWhenUsed/>
    <w:rsid w:val="00E65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马凌霞</dc:creator>
  <cp:lastModifiedBy>玉洲 马</cp:lastModifiedBy>
  <cp:revision>6</cp:revision>
  <cp:lastPrinted>2023-12-13T02:48:00Z</cp:lastPrinted>
  <dcterms:created xsi:type="dcterms:W3CDTF">2024-10-25T03:54:00Z</dcterms:created>
  <dcterms:modified xsi:type="dcterms:W3CDTF">2024-11-19T01:42:00Z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