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napToGrid w:val="0"/>
          <w:color w:val="000000"/>
          <w:kern w:val="0"/>
          <w:sz w:val="32"/>
          <w:szCs w:val="24"/>
          <w:lang w:val="en-US" w:eastAsia="zh-CN" w:bidi="ar-SA"/>
        </w:rPr>
      </w:pPr>
      <w:r>
        <w:rPr>
          <w:rFonts w:hint="eastAsia" w:ascii="黑体" w:hAnsi="黑体" w:eastAsia="黑体" w:cs="黑体"/>
          <w:snapToGrid w:val="0"/>
          <w:color w:val="000000"/>
          <w:kern w:val="0"/>
          <w:sz w:val="32"/>
          <w:szCs w:val="24"/>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val="en-US" w:eastAsia="zh-CN"/>
        </w:rPr>
      </w:pPr>
      <w:bookmarkStart w:id="0" w:name="_GoBack"/>
      <w:r>
        <w:rPr>
          <w:rFonts w:hint="eastAsia" w:ascii="方正小标宋简体" w:hAnsi="方正小标宋简体" w:eastAsia="方正小标宋简体" w:cs="方正小标宋简体"/>
          <w:snapToGrid w:val="0"/>
          <w:color w:val="000000"/>
          <w:kern w:val="0"/>
          <w:sz w:val="44"/>
          <w:szCs w:val="44"/>
          <w:lang w:val="en-US" w:eastAsia="zh-CN"/>
        </w:rPr>
        <w:t>《昌平区节能低碳发展资金管理办法（试行）》2024年政策兑现拟支持项目清单</w:t>
      </w:r>
    </w:p>
    <w:bookmarkEnd w:id="0"/>
    <w:p>
      <w:pPr>
        <w:pStyle w:val="6"/>
        <w:rPr>
          <w:rFonts w:hint="eastAsia"/>
          <w:lang w:val="en-US" w:eastAsia="zh-CN"/>
        </w:rPr>
      </w:pPr>
    </w:p>
    <w:tbl>
      <w:tblPr>
        <w:tblStyle w:val="8"/>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368"/>
        <w:gridCol w:w="4302"/>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828"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申报方向</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项目单位</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828"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光伏发电</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北京海林自控科技股份有限公司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北京海林自控科技股份有限公司</w:t>
            </w:r>
            <w:r>
              <w:rPr>
                <w:rFonts w:hint="eastAsia" w:ascii="仿宋_GB2312" w:hAnsi="仿宋_GB2312" w:eastAsia="仿宋_GB2312" w:cs="仿宋_GB2312"/>
                <w:sz w:val="24"/>
                <w:szCs w:val="24"/>
                <w:vertAlign w:val="baseline"/>
                <w:lang w:val="en-US" w:eastAsia="zh-CN"/>
              </w:rPr>
              <w:t>400</w:t>
            </w:r>
            <w:r>
              <w:rPr>
                <w:rFonts w:hint="eastAsia" w:ascii="仿宋_GB2312" w:hAnsi="仿宋_GB2312" w:eastAsia="仿宋_GB2312" w:cs="仿宋_GB2312"/>
                <w:sz w:val="24"/>
                <w:szCs w:val="24"/>
                <w:vertAlign w:val="baseline"/>
              </w:rPr>
              <w:t>KW分布式光伏发电项目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北京军腾高科信息技术有限公司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军腾高科</w:t>
            </w:r>
            <w:r>
              <w:rPr>
                <w:rFonts w:hint="eastAsia" w:ascii="仿宋_GB2312" w:hAnsi="仿宋_GB2312" w:eastAsia="仿宋_GB2312" w:cs="仿宋_GB2312"/>
                <w:sz w:val="24"/>
                <w:szCs w:val="24"/>
                <w:vertAlign w:val="baseline"/>
                <w:lang w:val="en-US" w:eastAsia="zh-CN"/>
              </w:rPr>
              <w:t>750</w:t>
            </w:r>
            <w:r>
              <w:rPr>
                <w:rFonts w:hint="eastAsia" w:ascii="仿宋_GB2312" w:hAnsi="仿宋_GB2312" w:eastAsia="仿宋_GB2312" w:cs="仿宋_GB2312"/>
                <w:sz w:val="24"/>
                <w:szCs w:val="24"/>
                <w:vertAlign w:val="baseline"/>
              </w:rPr>
              <w:t>KW分布式光伏发电项目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828"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新能源供热</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北京新雷能科技股份有限公司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特种电源扩产、高可靠性SiP功率微系统产品产业化和研发中心建设项目</w:t>
            </w:r>
            <w:r>
              <w:rPr>
                <w:rFonts w:hint="eastAsia" w:ascii="仿宋_GB2312" w:hAnsi="仿宋_GB2312" w:eastAsia="仿宋_GB2312" w:cs="仿宋_GB2312"/>
                <w:sz w:val="24"/>
                <w:szCs w:val="24"/>
                <w:vertAlign w:val="baseline"/>
                <w:lang w:val="en-US" w:eastAsia="zh-CN"/>
              </w:rPr>
              <w:t>(1#生产主楼等11项）地源热泵工程项目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4</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沙河巩华嘉业(北京)商业管理有限责任公司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国际能源电力创新中心智慧综合能源项目工程地源热泵复合冷热源工程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北京爱康宜诚医疗器材有限公司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北京爱康昌北生产厂房及研发楼建设项目地源热泵设计及施工一体化工程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北京市昌平区沙河镇路庄村股份经济合作社</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路庄创业中心（商业、办公）项目地源热泵复合冷热源工程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7</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北京未来科学城智慧能源有限公司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昌平区北七家镇东二旗综合能源利用系统工程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p>
        </w:tc>
        <w:tc>
          <w:tcPr>
            <w:tcW w:w="828"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新能源供热</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北京铭嘉科创开发建设有限公司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沙河医药健康产业园区地源热泵工程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9</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北京新领域房地产开发有限公司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新干线住宅小区三期D地块地源热泵工程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10</w:t>
            </w:r>
          </w:p>
        </w:tc>
        <w:tc>
          <w:tcPr>
            <w:tcW w:w="82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电投华庆元泰（北京）综合能源有</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北京生命谷国际精准医学产业园综合能源系统项目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11</w:t>
            </w:r>
          </w:p>
        </w:tc>
        <w:tc>
          <w:tcPr>
            <w:tcW w:w="828"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燃油非道路移动机械更新</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北京市昌平一建建筑有限责任公司环昌商品混凝土搅拌站</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大型燃油装载机置换大型纯电装载机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12</w:t>
            </w:r>
          </w:p>
        </w:tc>
        <w:tc>
          <w:tcPr>
            <w:tcW w:w="828"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低碳试点</w:t>
            </w:r>
          </w:p>
        </w:tc>
        <w:tc>
          <w:tcPr>
            <w:tcW w:w="1504"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北京天安农业发展有限公司</w:t>
            </w:r>
          </w:p>
        </w:tc>
        <w:tc>
          <w:tcPr>
            <w:tcW w:w="2277" w:type="pc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低碳农业园技术示范</w:t>
            </w:r>
          </w:p>
        </w:tc>
      </w:tr>
    </w:tbl>
    <w:p>
      <w:pPr>
        <w:pStyle w:val="6"/>
        <w:ind w:left="0" w:leftChars="0" w:firstLine="0" w:firstLineChars="0"/>
        <w:jc w:val="both"/>
        <w:rPr>
          <w:rFonts w:hint="eastAsia"/>
          <w:lang w:val="en-US" w:eastAsia="zh-CN"/>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057CD"/>
    <w:rsid w:val="3380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adjustRightInd w:val="0"/>
      <w:spacing w:line="312" w:lineRule="atLeast"/>
      <w:ind w:firstLine="420" w:firstLineChars="200"/>
      <w:jc w:val="both"/>
      <w:textAlignment w:val="baseline"/>
    </w:pPr>
    <w:rPr>
      <w:rFonts w:ascii="楷体_GB2312" w:hAnsi="Times New Roman" w:eastAsia="楷体_GB2312" w:cs="Times New Roman"/>
      <w:kern w:val="2"/>
      <w:sz w:val="28"/>
      <w:lang w:val="en-US" w:eastAsia="zh-CN" w:bidi="ar-SA"/>
    </w:rPr>
  </w:style>
  <w:style w:type="paragraph" w:styleId="3">
    <w:name w:val="Body Text"/>
    <w:basedOn w:val="1"/>
    <w:next w:val="4"/>
    <w:unhideWhenUsed/>
    <w:qFormat/>
    <w:uiPriority w:val="99"/>
    <w:pPr>
      <w:jc w:val="center"/>
    </w:pPr>
    <w:rPr>
      <w:rFonts w:ascii="方正小标宋_GBK" w:hAnsi="Times New Roman" w:eastAsia="方正小标宋_GBK"/>
      <w:b/>
      <w:bCs/>
      <w:snapToGrid/>
      <w:kern w:val="2"/>
      <w:sz w:val="36"/>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qFormat/>
    <w:uiPriority w:val="0"/>
    <w:pPr>
      <w:spacing w:line="288" w:lineRule="auto"/>
      <w:ind w:firstLine="420" w:firstLineChars="100"/>
    </w:pPr>
    <w:rPr>
      <w:rFonts w:ascii="Arial" w:hAnsi="Arial"/>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2024-11-18T05:59:00Z</dcterms:created>
  <dc:creator>XYSD</dc:creator>
  <cp:lastModifiedBy>XYSD</cp:lastModifiedBy>
  <dcterms:modified xsi:type="dcterms:W3CDTF">2024-11-18T05:59:51Z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