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70DF5">
      <w:pPr>
        <w:adjustRightInd w:val="0"/>
        <w:snapToGrid w:val="0"/>
        <w:spacing w:after="0"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海淀区弹性算力实验室项建设目揭榜挂帅方案（征求意见稿）</w:t>
      </w:r>
    </w:p>
    <w:p w14:paraId="5F9F5156">
      <w:pPr>
        <w:adjustRightInd w:val="0"/>
        <w:snapToGrid w:val="0"/>
        <w:spacing w:after="0" w:line="560" w:lineRule="exact"/>
        <w:ind w:firstLine="440"/>
        <w:rPr>
          <w:rFonts w:hint="eastAsia" w:ascii="仿宋_GB2312" w:eastAsia="仿宋_GB2312"/>
          <w:sz w:val="32"/>
          <w:szCs w:val="32"/>
        </w:rPr>
      </w:pPr>
    </w:p>
    <w:p w14:paraId="7E002834">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为进一步促进人工智能大模型产业创新发展，中关村科学城管委会将建设海淀区首家弹性算力实验室（以下简称算力实验室)，现特发布此方案。</w:t>
      </w:r>
    </w:p>
    <w:p w14:paraId="67135C88">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一、支持方向</w:t>
      </w:r>
    </w:p>
    <w:p w14:paraId="2C53AE26">
      <w:pPr>
        <w:adjustRightInd w:val="0"/>
        <w:snapToGrid w:val="0"/>
        <w:spacing w:after="0" w:line="560" w:lineRule="exact"/>
        <w:ind w:firstLine="440"/>
        <w:rPr>
          <w:rFonts w:hint="eastAsia" w:ascii="仿宋_GB2312" w:eastAsia="仿宋_GB2312"/>
          <w:sz w:val="32"/>
          <w:szCs w:val="32"/>
          <w:lang w:val="en-US" w:eastAsia="zh-CN"/>
        </w:rPr>
      </w:pPr>
      <w:r>
        <w:rPr>
          <w:rFonts w:hint="eastAsia" w:ascii="仿宋_GB2312" w:eastAsia="仿宋_GB2312"/>
          <w:sz w:val="32"/>
          <w:szCs w:val="32"/>
        </w:rPr>
        <w:t>支持</w:t>
      </w:r>
      <w:r>
        <w:rPr>
          <w:rFonts w:hint="eastAsia" w:ascii="仿宋_GB2312" w:eastAsia="仿宋_GB2312"/>
          <w:sz w:val="32"/>
          <w:szCs w:val="32"/>
          <w:lang w:val="en-US" w:eastAsia="zh-CN"/>
        </w:rPr>
        <w:t>申</w:t>
      </w:r>
      <w:r>
        <w:rPr>
          <w:rFonts w:hint="eastAsia" w:ascii="仿宋_GB2312" w:eastAsia="仿宋_GB2312"/>
          <w:sz w:val="32"/>
          <w:szCs w:val="32"/>
          <w:highlight w:val="none"/>
          <w:lang w:val="en-US" w:eastAsia="zh-CN"/>
        </w:rPr>
        <w:t>报方</w:t>
      </w:r>
      <w:r>
        <w:rPr>
          <w:rFonts w:hint="eastAsia" w:ascii="仿宋_GB2312" w:eastAsia="仿宋_GB2312"/>
          <w:sz w:val="32"/>
          <w:szCs w:val="32"/>
          <w:highlight w:val="none"/>
        </w:rPr>
        <w:t>聚焦人</w:t>
      </w:r>
      <w:r>
        <w:rPr>
          <w:rFonts w:hint="eastAsia" w:ascii="仿宋_GB2312" w:eastAsia="仿宋_GB2312"/>
          <w:sz w:val="32"/>
          <w:szCs w:val="32"/>
        </w:rPr>
        <w:t>工智能产业领域，帮助潜力科创企业高效训练测试大模型产品，快速完成创新验证与迭代，推动垂直领域应用场景探索，帮助大模型、具身智能、AI for science等领域优质科创企业</w:t>
      </w:r>
      <w:r>
        <w:rPr>
          <w:rFonts w:hint="eastAsia" w:ascii="仿宋_GB2312" w:eastAsia="仿宋_GB2312"/>
          <w:sz w:val="32"/>
          <w:szCs w:val="32"/>
          <w:lang w:val="en-US" w:eastAsia="zh-CN"/>
        </w:rPr>
        <w:t>快速成长。</w:t>
      </w:r>
    </w:p>
    <w:p w14:paraId="45EC80D0">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二、申报主体</w:t>
      </w:r>
    </w:p>
    <w:p w14:paraId="1D167E83">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color w:val="auto"/>
          <w:sz w:val="32"/>
          <w:szCs w:val="32"/>
        </w:rPr>
        <w:t>本项目可联合申报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联合申报方不超过3家），</w:t>
      </w:r>
      <w:r>
        <w:rPr>
          <w:rFonts w:hint="eastAsia" w:ascii="仿宋_GB2312" w:eastAsia="仿宋_GB2312"/>
          <w:sz w:val="32"/>
          <w:szCs w:val="32"/>
          <w:highlight w:val="none"/>
        </w:rPr>
        <w:t>申报方须在海淀区规范经营的企业，</w:t>
      </w:r>
      <w:r>
        <w:rPr>
          <w:rFonts w:hint="eastAsia" w:ascii="仿宋_GB2312" w:eastAsia="仿宋_GB2312"/>
          <w:sz w:val="32"/>
          <w:szCs w:val="32"/>
        </w:rPr>
        <w:t>无不良信用记录，并同时满足以下条件：</w:t>
      </w:r>
    </w:p>
    <w:p w14:paraId="03001DFE">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 拥有多年的孵化加速前沿高科技项目经验；</w:t>
      </w:r>
    </w:p>
    <w:p w14:paraId="368B47CE">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 重点加速投资前沿技术，近两年投资孵化的人工智能相关项目占比较高；</w:t>
      </w:r>
    </w:p>
    <w:p w14:paraId="184E7BF6">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3. 布局全球创新网络，与全球人工智能相关人才保持高频次交流与合作；</w:t>
      </w:r>
    </w:p>
    <w:p w14:paraId="15F659D9">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4. 具备成熟的项目筛选评估机制，培育转化创新企业数量较多；</w:t>
      </w:r>
    </w:p>
    <w:p w14:paraId="26E18644">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5. 可以快速触达、链接和服务一批国内外技术能力突出、有深度开发需求、且有一定模型微调经验的创业项目和人才；</w:t>
      </w:r>
    </w:p>
    <w:p w14:paraId="34E8AD87">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6. 团队对前沿人工智能领域具有长期的积累与认知，团队具备人工智能相关技术研发、算力运维调用能力与经验。</w:t>
      </w:r>
    </w:p>
    <w:p w14:paraId="5D55F12D">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三、算力实验室支持主体</w:t>
      </w:r>
    </w:p>
    <w:p w14:paraId="45124315">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 xml:space="preserve">重点支持高质量模型转化应用，面向技术能力突出、上升潜力大、有大模型训练需求但不能快速找到合适算力资源的项目或个人。项目创始人或个人须满足以下条件之一： </w:t>
      </w:r>
    </w:p>
    <w:p w14:paraId="68A46082">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 xml:space="preserve">1.QS200高校背景； </w:t>
      </w:r>
    </w:p>
    <w:p w14:paraId="051739F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2.有国内外头部大厂相关工作经验；</w:t>
      </w:r>
    </w:p>
    <w:p w14:paraId="67167670">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3.有明星初创公司（估值10亿人民币以上）、AI相关独角兽企业（成立不到10年但估值10亿美元以上且未在股票市场上市的科技创业公司）工作经验；</w:t>
      </w:r>
    </w:p>
    <w:p w14:paraId="63CAA71D">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4.有8卡以上模型微调经验；</w:t>
      </w:r>
    </w:p>
    <w:p w14:paraId="7079EA1C">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5.已有产品demo，积极参与开源社区贡献，如在GitHub或Hugging Face等开源社区具有至少100+Star的开源项目；</w:t>
      </w:r>
    </w:p>
    <w:p w14:paraId="1017279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6.项目获得多家资本青睐。</w:t>
      </w:r>
    </w:p>
    <w:p w14:paraId="63558EA9">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四、支持措施</w:t>
      </w:r>
    </w:p>
    <w:p w14:paraId="20D9FEA5">
      <w:pPr>
        <w:adjustRightInd w:val="0"/>
        <w:snapToGrid w:val="0"/>
        <w:spacing w:after="0" w:line="560" w:lineRule="exact"/>
        <w:ind w:firstLine="440"/>
        <w:rPr>
          <w:rFonts w:hint="default" w:ascii="仿宋_GB2312" w:eastAsia="仿宋_GB2312"/>
          <w:sz w:val="32"/>
          <w:szCs w:val="32"/>
          <w:highlight w:val="none"/>
          <w:lang w:val="en-US" w:eastAsia="zh-CN"/>
        </w:rPr>
      </w:pPr>
      <w:r>
        <w:rPr>
          <w:rFonts w:hint="eastAsia" w:ascii="仿宋_GB2312" w:eastAsia="仿宋_GB2312"/>
          <w:color w:val="auto"/>
          <w:sz w:val="32"/>
          <w:szCs w:val="32"/>
          <w:highlight w:val="none"/>
        </w:rPr>
        <w:t>算力实验室项目建设周期不超过3年，</w:t>
      </w:r>
      <w:r>
        <w:rPr>
          <w:rFonts w:hint="eastAsia" w:ascii="仿宋_GB2312" w:eastAsia="仿宋_GB2312"/>
          <w:color w:val="auto"/>
          <w:sz w:val="32"/>
          <w:szCs w:val="32"/>
          <w:highlight w:val="none"/>
          <w:lang w:val="en-US" w:eastAsia="zh-CN"/>
        </w:rPr>
        <w:t>第一年支持资金</w:t>
      </w:r>
      <w:r>
        <w:rPr>
          <w:rFonts w:hint="eastAsia" w:ascii="仿宋_GB2312" w:eastAsia="仿宋_GB2312"/>
          <w:color w:val="auto"/>
          <w:sz w:val="32"/>
          <w:szCs w:val="32"/>
          <w:highlight w:val="none"/>
        </w:rPr>
        <w:t>不超过2700万元，资金应用于算力租赁、关联配置以及运维服务，为前置支持。</w:t>
      </w:r>
      <w:r>
        <w:rPr>
          <w:rFonts w:hint="eastAsia" w:ascii="仿宋_GB2312" w:eastAsia="仿宋_GB2312"/>
          <w:sz w:val="32"/>
          <w:szCs w:val="32"/>
          <w:highlight w:val="none"/>
        </w:rPr>
        <w:t>算力实验室算力每年用于不少于30个优质项目或优秀人才团队使用，培育转化不少于8家企业。</w:t>
      </w:r>
      <w:r>
        <w:rPr>
          <w:rFonts w:hint="eastAsia" w:ascii="仿宋_GB2312" w:eastAsia="仿宋_GB2312"/>
          <w:sz w:val="32"/>
          <w:szCs w:val="32"/>
          <w:highlight w:val="none"/>
          <w:lang w:val="en-US" w:eastAsia="zh-CN"/>
        </w:rPr>
        <w:t>后两年支持资金根据第一年建设运营情况确定。</w:t>
      </w:r>
    </w:p>
    <w:p w14:paraId="0CD7FE9A">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五、实施方式</w:t>
      </w:r>
    </w:p>
    <w:p w14:paraId="554F12D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1.申报方依据榜单进行“揭榜”，制定项目</w:t>
      </w:r>
      <w:r>
        <w:rPr>
          <w:rFonts w:hint="eastAsia" w:ascii="仿宋_GB2312" w:eastAsia="仿宋_GB2312"/>
          <w:sz w:val="32"/>
          <w:szCs w:val="32"/>
          <w:lang w:val="en-US" w:eastAsia="zh-CN"/>
        </w:rPr>
        <w:t>建设</w:t>
      </w:r>
      <w:r>
        <w:rPr>
          <w:rFonts w:hint="eastAsia" w:ascii="仿宋_GB2312" w:eastAsia="仿宋_GB2312"/>
          <w:sz w:val="32"/>
          <w:szCs w:val="32"/>
        </w:rPr>
        <w:t>方案，中关村科学城管委会对方案组织评审，并与项目单位签订项目任务书。</w:t>
      </w:r>
    </w:p>
    <w:p w14:paraId="036BF22B">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申报方应按照任务书约定指标进行项目建设，并根据要求提交算力的使用情况和培育转化情况进行跟踪形成季度报告、绩效目标完成情况年度报告；中关村科学城管委会对算力实验室绩效完成情况进行审核，根据第一年的实施情况进行效果评估，以决定是否继续支持。</w:t>
      </w:r>
    </w:p>
    <w:p w14:paraId="50AF6D4F">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六、申报材料</w:t>
      </w:r>
    </w:p>
    <w:p w14:paraId="0F362217">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1.通过专项资金平台（http://www.bjhd.gov.cn/qyfw ）在线申报，按要求填写基本信息并提交《海淀区弹性算力实验室建设项目申报书》及有关附件材料，同时提交</w:t>
      </w:r>
      <w:r>
        <w:rPr>
          <w:rFonts w:hint="eastAsia" w:ascii="仿宋_GB2312" w:eastAsia="仿宋_GB2312"/>
          <w:sz w:val="32"/>
          <w:szCs w:val="32"/>
          <w:lang w:val="en-US" w:eastAsia="zh-CN"/>
        </w:rPr>
        <w:t>一</w:t>
      </w:r>
      <w:r>
        <w:rPr>
          <w:rFonts w:hint="eastAsia" w:ascii="仿宋_GB2312" w:eastAsia="仿宋_GB2312"/>
          <w:sz w:val="32"/>
          <w:szCs w:val="32"/>
        </w:rPr>
        <w:t>份纸质材料，纸质材料须从网上申报系统软件打印，书面申报材料与网上申报材料不一致，将不予受理。 纸质申报书应在封面加盖公章及骑缝章</w:t>
      </w:r>
      <w:r>
        <w:rPr>
          <w:rFonts w:hint="eastAsia" w:ascii="仿宋_GB2312" w:eastAsia="仿宋_GB2312"/>
          <w:sz w:val="32"/>
          <w:szCs w:val="32"/>
          <w:lang w:eastAsia="zh-CN"/>
        </w:rPr>
        <w:t>；</w:t>
      </w:r>
      <w:r>
        <w:rPr>
          <w:rFonts w:hint="eastAsia" w:ascii="仿宋_GB2312" w:eastAsia="仿宋_GB2312"/>
          <w:sz w:val="32"/>
          <w:szCs w:val="32"/>
        </w:rPr>
        <w:t xml:space="preserve"> 申报材料一律使用A4纸张</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须标注连续页码</w:t>
      </w:r>
      <w:r>
        <w:rPr>
          <w:rFonts w:hint="eastAsia" w:ascii="仿宋_GB2312" w:eastAsia="仿宋_GB2312"/>
          <w:sz w:val="32"/>
          <w:szCs w:val="32"/>
          <w:lang w:eastAsia="zh-CN"/>
        </w:rPr>
        <w:t>；</w:t>
      </w:r>
      <w:r>
        <w:rPr>
          <w:rFonts w:hint="eastAsia" w:ascii="仿宋_GB2312" w:eastAsia="仿宋_GB2312"/>
          <w:sz w:val="32"/>
          <w:szCs w:val="32"/>
        </w:rPr>
        <w:t>申报材料不退还。</w:t>
      </w:r>
    </w:p>
    <w:p w14:paraId="62652310">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2.如申报材料不属实，中关村科学城管委会将按相关规定进行处理。</w:t>
      </w:r>
    </w:p>
    <w:p w14:paraId="5CFEFD78">
      <w:pPr>
        <w:adjustRightInd w:val="0"/>
        <w:snapToGrid w:val="0"/>
        <w:spacing w:after="0" w:line="560" w:lineRule="exact"/>
        <w:ind w:firstLine="440"/>
        <w:rPr>
          <w:rFonts w:hint="eastAsia" w:ascii="黑体" w:hAnsi="黑体" w:eastAsia="黑体" w:cs="黑体"/>
          <w:sz w:val="32"/>
          <w:szCs w:val="32"/>
          <w:lang w:val="en-US" w:eastAsia="zh-CN"/>
        </w:rPr>
      </w:pPr>
      <w:r>
        <w:rPr>
          <w:rFonts w:hint="eastAsia" w:ascii="黑体" w:hAnsi="黑体" w:eastAsia="黑体" w:cs="黑体"/>
          <w:sz w:val="32"/>
          <w:szCs w:val="32"/>
        </w:rPr>
        <w:t>七、申报时间</w:t>
      </w:r>
      <w:r>
        <w:rPr>
          <w:rFonts w:hint="eastAsia" w:ascii="黑体" w:hAnsi="黑体" w:eastAsia="黑体" w:cs="黑体"/>
          <w:sz w:val="32"/>
          <w:szCs w:val="32"/>
          <w:lang w:val="en-US" w:eastAsia="zh-CN"/>
        </w:rPr>
        <w:t>及纸质材料报送地点</w:t>
      </w:r>
    </w:p>
    <w:p w14:paraId="07F7E723">
      <w:pPr>
        <w:adjustRightInd w:val="0"/>
        <w:snapToGrid w:val="0"/>
        <w:spacing w:after="0" w:line="560" w:lineRule="exact"/>
        <w:ind w:firstLine="4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申报时间：2024年11月9日至11月17日</w:t>
      </w:r>
    </w:p>
    <w:p w14:paraId="67CC7ED9">
      <w:pPr>
        <w:adjustRightInd w:val="0"/>
        <w:snapToGrid w:val="0"/>
        <w:spacing w:after="0" w:line="560" w:lineRule="exact"/>
        <w:ind w:firstLine="440"/>
        <w:rPr>
          <w:rFonts w:hint="default" w:ascii="仿宋_GB2312" w:eastAsia="仿宋_GB2312"/>
          <w:sz w:val="32"/>
          <w:szCs w:val="32"/>
          <w:lang w:val="en-US" w:eastAsia="zh-CN"/>
        </w:rPr>
      </w:pPr>
      <w:r>
        <w:rPr>
          <w:rFonts w:hint="eastAsia" w:ascii="仿宋_GB2312" w:eastAsia="仿宋_GB2312"/>
          <w:sz w:val="32"/>
          <w:szCs w:val="32"/>
          <w:lang w:val="en-US" w:eastAsia="zh-CN"/>
        </w:rPr>
        <w:t>报送地点：海淀招商大厦东613</w:t>
      </w:r>
    </w:p>
    <w:p w14:paraId="1EF64518">
      <w:pPr>
        <w:adjustRightInd w:val="0"/>
        <w:snapToGrid w:val="0"/>
        <w:spacing w:after="0" w:line="560" w:lineRule="exact"/>
        <w:ind w:firstLine="440"/>
        <w:jc w:val="both"/>
        <w:rPr>
          <w:rFonts w:hint="eastAsia" w:ascii="仿宋_GB2312" w:eastAsia="仿宋_GB2312"/>
          <w:sz w:val="32"/>
          <w:szCs w:val="32"/>
          <w:lang w:val="en-US" w:eastAsia="zh-CN"/>
        </w:rPr>
      </w:pPr>
    </w:p>
    <w:p w14:paraId="524134D8">
      <w:pPr>
        <w:adjustRightInd w:val="0"/>
        <w:snapToGrid w:val="0"/>
        <w:spacing w:after="0" w:line="560" w:lineRule="exact"/>
        <w:ind w:firstLine="440"/>
        <w:jc w:val="both"/>
        <w:rPr>
          <w:rFonts w:hint="eastAsia" w:ascii="仿宋_GB2312" w:eastAsia="仿宋_GB2312"/>
          <w:sz w:val="32"/>
          <w:szCs w:val="32"/>
        </w:rPr>
      </w:pPr>
      <w:r>
        <w:rPr>
          <w:rFonts w:hint="eastAsia" w:ascii="仿宋_GB2312" w:eastAsia="仿宋_GB2312"/>
          <w:sz w:val="32"/>
          <w:szCs w:val="32"/>
          <w:lang w:val="en-US" w:eastAsia="zh-CN"/>
        </w:rPr>
        <w:t>附件：</w:t>
      </w:r>
      <w:r>
        <w:rPr>
          <w:rFonts w:hint="eastAsia" w:ascii="仿宋_GB2312" w:eastAsia="仿宋_GB2312"/>
          <w:sz w:val="32"/>
          <w:szCs w:val="32"/>
        </w:rPr>
        <w:t>海淀区弹性算力实验室项建设目揭榜挂帅申请报告</w:t>
      </w:r>
    </w:p>
    <w:p w14:paraId="077EFD4B">
      <w:pPr>
        <w:adjustRightInd w:val="0"/>
        <w:snapToGrid w:val="0"/>
        <w:spacing w:after="0" w:line="560" w:lineRule="exact"/>
        <w:ind w:firstLine="440"/>
        <w:rPr>
          <w:rFonts w:hint="default" w:ascii="仿宋_GB2312" w:eastAsia="仿宋_GB2312"/>
          <w:sz w:val="32"/>
          <w:szCs w:val="32"/>
          <w:lang w:val="en-US" w:eastAsia="zh-CN"/>
        </w:rPr>
      </w:pPr>
    </w:p>
    <w:p w14:paraId="11E32F35">
      <w:pPr>
        <w:adjustRightInd w:val="0"/>
        <w:snapToGrid w:val="0"/>
        <w:spacing w:after="0" w:line="560" w:lineRule="exact"/>
        <w:ind w:firstLine="440"/>
        <w:rPr>
          <w:rFonts w:hint="eastAsia" w:ascii="仿宋_GB2312" w:eastAsia="仿宋_GB2312"/>
          <w:sz w:val="32"/>
          <w:szCs w:val="32"/>
          <w:lang w:val="en-US" w:eastAsia="zh-CN"/>
        </w:rPr>
      </w:pPr>
    </w:p>
    <w:p w14:paraId="775A555C">
      <w:pPr>
        <w:adjustRightInd w:val="0"/>
        <w:snapToGrid w:val="0"/>
        <w:spacing w:after="0" w:line="560" w:lineRule="exact"/>
        <w:ind w:firstLine="440"/>
        <w:rPr>
          <w:rFonts w:hint="eastAsia" w:ascii="仿宋_GB2312" w:eastAsia="仿宋_GB2312"/>
          <w:sz w:val="32"/>
          <w:szCs w:val="32"/>
        </w:rPr>
      </w:pPr>
    </w:p>
    <w:p w14:paraId="5F89B3FD">
      <w:pPr>
        <w:adjustRightInd w:val="0"/>
        <w:snapToGrid w:val="0"/>
        <w:spacing w:after="0" w:line="560" w:lineRule="exact"/>
        <w:ind w:firstLine="440"/>
        <w:rPr>
          <w:rFonts w:hint="eastAsia" w:ascii="仿宋_GB2312" w:eastAsia="仿宋_GB2312"/>
          <w:sz w:val="32"/>
          <w:szCs w:val="32"/>
        </w:rPr>
      </w:pPr>
    </w:p>
    <w:p w14:paraId="40CADDA2">
      <w:pPr>
        <w:adjustRightInd w:val="0"/>
        <w:snapToGrid w:val="0"/>
        <w:spacing w:after="0" w:line="560" w:lineRule="exact"/>
        <w:ind w:firstLine="440"/>
        <w:jc w:val="right"/>
        <w:rPr>
          <w:rFonts w:hint="eastAsia" w:ascii="仿宋_GB2312" w:eastAsia="仿宋_GB2312"/>
          <w:sz w:val="32"/>
          <w:szCs w:val="32"/>
        </w:rPr>
      </w:pPr>
      <w:r>
        <w:rPr>
          <w:rFonts w:hint="eastAsia" w:ascii="仿宋_GB2312" w:eastAsia="仿宋_GB2312"/>
          <w:sz w:val="32"/>
          <w:szCs w:val="32"/>
        </w:rPr>
        <w:t>中关村科学城管理委员会</w:t>
      </w:r>
    </w:p>
    <w:p w14:paraId="41A558D5">
      <w:pPr>
        <w:adjustRightInd w:val="0"/>
        <w:snapToGrid w:val="0"/>
        <w:spacing w:after="0" w:line="560" w:lineRule="exact"/>
        <w:ind w:firstLine="440"/>
        <w:jc w:val="right"/>
        <w:rPr>
          <w:rFonts w:hint="eastAsia" w:ascii="仿宋_GB2312" w:eastAsia="仿宋_GB2312"/>
          <w:sz w:val="32"/>
          <w:szCs w:val="32"/>
        </w:rPr>
      </w:pPr>
      <w:r>
        <w:rPr>
          <w:rFonts w:hint="eastAsia" w:ascii="仿宋_GB2312" w:eastAsia="仿宋_GB2312"/>
          <w:sz w:val="32"/>
          <w:szCs w:val="32"/>
        </w:rPr>
        <w:t>2024年11月</w:t>
      </w:r>
    </w:p>
    <w:p w14:paraId="7F4DBA11">
      <w:pPr>
        <w:adjustRightInd w:val="0"/>
        <w:snapToGrid w:val="0"/>
        <w:spacing w:after="0" w:line="560" w:lineRule="exact"/>
        <w:ind w:firstLine="440"/>
        <w:rPr>
          <w:rFonts w:hint="eastAsia" w:ascii="仿宋_GB2312" w:eastAsia="仿宋_GB2312"/>
          <w:sz w:val="32"/>
          <w:szCs w:val="32"/>
        </w:rPr>
      </w:pPr>
    </w:p>
    <w:p w14:paraId="756645DA">
      <w:pPr>
        <w:spacing w:line="560" w:lineRule="exact"/>
        <w:rPr>
          <w:rFonts w:hint="eastAsia" w:ascii="方正小标宋_GBK" w:hAnsi="黑体" w:eastAsia="方正小标宋_GBK"/>
          <w:sz w:val="44"/>
          <w:szCs w:val="44"/>
        </w:rPr>
      </w:pPr>
    </w:p>
    <w:p w14:paraId="42E05A25">
      <w:pPr>
        <w:spacing w:line="560" w:lineRule="exact"/>
        <w:rPr>
          <w:rFonts w:hint="eastAsia" w:ascii="方正小标宋_GBK" w:hAnsi="黑体" w:eastAsia="方正小标宋_GBK"/>
          <w:sz w:val="44"/>
          <w:szCs w:val="44"/>
        </w:rPr>
      </w:pPr>
    </w:p>
    <w:p w14:paraId="25424346">
      <w:pPr>
        <w:spacing w:line="560" w:lineRule="exact"/>
        <w:rPr>
          <w:rFonts w:hint="eastAsia" w:ascii="方正小标宋_GBK" w:hAnsi="黑体" w:eastAsia="方正小标宋_GBK"/>
          <w:sz w:val="44"/>
          <w:szCs w:val="44"/>
        </w:rPr>
      </w:pPr>
    </w:p>
    <w:p w14:paraId="36C89BD1">
      <w:pPr>
        <w:spacing w:line="560" w:lineRule="exact"/>
        <w:rPr>
          <w:rFonts w:hint="eastAsia" w:ascii="方正小标宋_GBK" w:hAnsi="黑体" w:eastAsia="方正小标宋_GBK"/>
          <w:sz w:val="44"/>
          <w:szCs w:val="44"/>
        </w:rPr>
      </w:pPr>
    </w:p>
    <w:p w14:paraId="73FA8706">
      <w:pPr>
        <w:spacing w:line="560" w:lineRule="exact"/>
        <w:rPr>
          <w:rFonts w:hint="eastAsia" w:ascii="方正小标宋_GBK" w:hAnsi="黑体" w:eastAsia="方正小标宋_GBK"/>
          <w:sz w:val="44"/>
          <w:szCs w:val="44"/>
        </w:rPr>
      </w:pPr>
    </w:p>
    <w:p w14:paraId="026F14C1">
      <w:pPr>
        <w:spacing w:line="560" w:lineRule="exact"/>
        <w:rPr>
          <w:rFonts w:hint="eastAsia" w:ascii="方正小标宋_GBK" w:hAnsi="黑体" w:eastAsia="方正小标宋_GBK"/>
          <w:sz w:val="44"/>
          <w:szCs w:val="44"/>
        </w:rPr>
      </w:pPr>
    </w:p>
    <w:p w14:paraId="34AD9F1A">
      <w:pPr>
        <w:spacing w:line="560" w:lineRule="exact"/>
        <w:rPr>
          <w:rFonts w:hint="eastAsia" w:ascii="方正小标宋_GBK" w:hAnsi="黑体" w:eastAsia="方正小标宋_GBK"/>
          <w:sz w:val="44"/>
          <w:szCs w:val="44"/>
        </w:rPr>
      </w:pPr>
    </w:p>
    <w:p w14:paraId="1A9BAF0B">
      <w:pPr>
        <w:spacing w:line="560" w:lineRule="exact"/>
        <w:rPr>
          <w:rFonts w:hint="eastAsia" w:ascii="方正小标宋_GBK" w:hAnsi="黑体" w:eastAsia="方正小标宋_GBK"/>
          <w:sz w:val="44"/>
          <w:szCs w:val="44"/>
        </w:rPr>
      </w:pPr>
    </w:p>
    <w:p w14:paraId="6D6001A4">
      <w:pPr>
        <w:spacing w:line="560" w:lineRule="exact"/>
        <w:rPr>
          <w:rFonts w:hint="eastAsia" w:ascii="方正小标宋_GBK" w:hAnsi="黑体" w:eastAsia="方正小标宋_GBK"/>
          <w:sz w:val="44"/>
          <w:szCs w:val="44"/>
        </w:rPr>
      </w:pPr>
    </w:p>
    <w:p w14:paraId="1F478064">
      <w:pPr>
        <w:spacing w:line="560" w:lineRule="exact"/>
        <w:rPr>
          <w:rFonts w:hint="eastAsia" w:ascii="方正小标宋_GBK" w:hAnsi="黑体" w:eastAsia="方正小标宋_GBK"/>
          <w:sz w:val="44"/>
          <w:szCs w:val="44"/>
        </w:rPr>
      </w:pPr>
    </w:p>
    <w:p w14:paraId="2753BA78">
      <w:pPr>
        <w:spacing w:line="560" w:lineRule="exact"/>
        <w:jc w:val="both"/>
        <w:rPr>
          <w:rFonts w:hint="eastAsia" w:ascii="黑体" w:hAnsi="宋体" w:eastAsia="黑体"/>
          <w:sz w:val="32"/>
          <w:szCs w:val="40"/>
          <w:lang w:val="en-US" w:eastAsia="zh-CN" w:bidi="ar"/>
        </w:rPr>
      </w:pPr>
      <w:r>
        <w:rPr>
          <w:rFonts w:hint="eastAsia" w:ascii="黑体" w:hAnsi="宋体" w:eastAsia="黑体"/>
          <w:sz w:val="32"/>
          <w:szCs w:val="40"/>
          <w:lang w:bidi="ar"/>
        </w:rPr>
        <w:br w:type="page"/>
      </w:r>
      <w:r>
        <w:rPr>
          <w:rFonts w:hint="eastAsia" w:ascii="黑体" w:hAnsi="宋体" w:eastAsia="黑体"/>
          <w:sz w:val="32"/>
          <w:szCs w:val="40"/>
          <w:lang w:val="en-US" w:eastAsia="zh-CN" w:bidi="ar"/>
        </w:rPr>
        <w:t>附件</w:t>
      </w:r>
    </w:p>
    <w:p w14:paraId="16E1ED2A">
      <w:pPr>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海淀区弹性算力实验室项建设目揭榜挂帅</w:t>
      </w:r>
    </w:p>
    <w:p w14:paraId="0BC60D1F">
      <w:pPr>
        <w:spacing w:line="560" w:lineRule="exact"/>
        <w:jc w:val="center"/>
        <w:rPr>
          <w:rFonts w:hint="default"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bidi="ar"/>
        </w:rPr>
        <w:t>申请报告</w:t>
      </w:r>
    </w:p>
    <w:p w14:paraId="47F206DF">
      <w:pPr>
        <w:spacing w:line="560" w:lineRule="exact"/>
        <w:jc w:val="center"/>
        <w:rPr>
          <w:rFonts w:ascii="楷体_GB2312" w:hAnsi="仿宋" w:eastAsia="楷体_GB2312" w:cs="楷体_GB2312"/>
          <w:sz w:val="32"/>
          <w:szCs w:val="32"/>
        </w:rPr>
      </w:pPr>
      <w:r>
        <w:rPr>
          <w:rFonts w:hint="eastAsia" w:ascii="楷体_GB2312" w:hAnsi="仿宋" w:eastAsia="楷体_GB2312" w:cs="楷体_GB2312"/>
          <w:sz w:val="32"/>
          <w:szCs w:val="32"/>
          <w:lang w:bidi="ar"/>
        </w:rPr>
        <w:t>（编制要点）</w:t>
      </w:r>
    </w:p>
    <w:p w14:paraId="2AFE8416">
      <w:pPr>
        <w:spacing w:line="560" w:lineRule="exact"/>
        <w:jc w:val="center"/>
        <w:rPr>
          <w:rFonts w:ascii="仿宋" w:hAnsi="仿宋" w:eastAsia="仿宋" w:cs="仿宋"/>
          <w:sz w:val="32"/>
          <w:szCs w:val="32"/>
        </w:rPr>
      </w:pPr>
    </w:p>
    <w:p w14:paraId="537F42C9">
      <w:pPr>
        <w:adjustRightInd w:val="0"/>
        <w:snapToGrid w:val="0"/>
        <w:spacing w:line="560" w:lineRule="exact"/>
        <w:ind w:firstLine="640" w:firstLineChars="200"/>
        <w:rPr>
          <w:rFonts w:hint="default" w:ascii="黑体" w:hAnsi="宋体" w:eastAsia="黑体" w:cs="黑体"/>
          <w:sz w:val="32"/>
          <w:szCs w:val="32"/>
          <w:highlight w:val="yellow"/>
          <w:lang w:val="en-US" w:eastAsia="zh-CN"/>
        </w:rPr>
      </w:pPr>
      <w:bookmarkStart w:id="0" w:name="_Hlk110842904"/>
      <w:r>
        <w:rPr>
          <w:rFonts w:hint="eastAsia" w:ascii="黑体" w:hAnsi="宋体" w:eastAsia="黑体" w:cs="黑体"/>
          <w:sz w:val="32"/>
          <w:szCs w:val="32"/>
          <w:lang w:bidi="ar"/>
        </w:rPr>
        <w:t>一、申报单位基本情况</w:t>
      </w:r>
    </w:p>
    <w:p w14:paraId="3B0B6C42">
      <w:pPr>
        <w:adjustRightInd w:val="0"/>
        <w:snapToGrid w:val="0"/>
        <w:spacing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团队情况</w:t>
      </w:r>
    </w:p>
    <w:p w14:paraId="785EE74D">
      <w:pPr>
        <w:adjustRightInd w:val="0"/>
        <w:snapToGrid w:val="0"/>
        <w:spacing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2.布局全球创新网络情况</w:t>
      </w:r>
    </w:p>
    <w:p w14:paraId="2A671198">
      <w:pPr>
        <w:adjustRightInd w:val="0"/>
        <w:snapToGrid w:val="0"/>
        <w:spacing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3.近两年投资孵化人工智能相关项目情况</w:t>
      </w:r>
    </w:p>
    <w:p w14:paraId="6F4C0666">
      <w:pPr>
        <w:adjustRightInd w:val="0"/>
        <w:snapToGrid w:val="0"/>
        <w:spacing w:after="0"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4.孵化加速前沿高科技项目情况</w:t>
      </w:r>
    </w:p>
    <w:p w14:paraId="46962D68">
      <w:pPr>
        <w:adjustRightInd w:val="0"/>
        <w:snapToGrid w:val="0"/>
        <w:spacing w:line="560" w:lineRule="exact"/>
        <w:ind w:firstLine="640" w:firstLineChars="200"/>
        <w:rPr>
          <w:rFonts w:hint="default" w:ascii="仿宋_GB2312" w:eastAsia="仿宋_GB2312" w:cs="仿宋_GB2312"/>
          <w:sz w:val="32"/>
          <w:szCs w:val="32"/>
          <w:lang w:val="en-US" w:eastAsia="zh-CN" w:bidi="ar"/>
        </w:rPr>
      </w:pPr>
      <w:r>
        <w:rPr>
          <w:rFonts w:hint="eastAsia" w:ascii="仿宋_GB2312" w:eastAsia="仿宋_GB2312" w:cs="仿宋_GB2312"/>
          <w:sz w:val="32"/>
          <w:szCs w:val="32"/>
          <w:lang w:val="en-US" w:eastAsia="zh-CN" w:bidi="ar"/>
        </w:rPr>
        <w:t>5.算力设施情况</w:t>
      </w:r>
    </w:p>
    <w:p w14:paraId="4F32C98B">
      <w:pPr>
        <w:adjustRightInd w:val="0"/>
        <w:snapToGrid w:val="0"/>
        <w:spacing w:line="560"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val="en-US" w:eastAsia="zh-CN" w:bidi="ar"/>
        </w:rPr>
        <w:t>6.</w:t>
      </w:r>
      <w:r>
        <w:rPr>
          <w:rFonts w:hint="eastAsia" w:ascii="仿宋_GB2312" w:eastAsia="仿宋_GB2312" w:cs="仿宋_GB2312"/>
          <w:sz w:val="32"/>
          <w:szCs w:val="32"/>
          <w:lang w:bidi="ar"/>
        </w:rPr>
        <w:t>联合申报单位、团队的选择原因及其优势（如无可不填写）</w:t>
      </w:r>
    </w:p>
    <w:bookmarkEnd w:id="0"/>
    <w:p w14:paraId="495FAE8A">
      <w:pPr>
        <w:adjustRightInd w:val="0"/>
        <w:snapToGrid w:val="0"/>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val="en-US" w:eastAsia="zh-CN" w:bidi="ar"/>
        </w:rPr>
        <w:t>二</w:t>
      </w:r>
      <w:r>
        <w:rPr>
          <w:rFonts w:hint="eastAsia" w:ascii="黑体" w:hAnsi="宋体" w:eastAsia="黑体" w:cs="黑体"/>
          <w:sz w:val="32"/>
          <w:szCs w:val="32"/>
          <w:lang w:bidi="ar"/>
        </w:rPr>
        <w:t>、项目</w:t>
      </w:r>
      <w:r>
        <w:rPr>
          <w:rFonts w:hint="eastAsia" w:ascii="黑体" w:hAnsi="宋体" w:eastAsia="黑体" w:cs="黑体"/>
          <w:sz w:val="32"/>
          <w:szCs w:val="32"/>
          <w:lang w:val="en-US" w:eastAsia="zh-CN" w:bidi="ar"/>
        </w:rPr>
        <w:t>建设</w:t>
      </w:r>
      <w:r>
        <w:rPr>
          <w:rFonts w:hint="eastAsia" w:ascii="黑体" w:hAnsi="宋体" w:eastAsia="黑体" w:cs="黑体"/>
          <w:sz w:val="32"/>
          <w:szCs w:val="32"/>
          <w:lang w:bidi="ar"/>
        </w:rPr>
        <w:t>方案</w:t>
      </w:r>
    </w:p>
    <w:p w14:paraId="0C4B6340">
      <w:pPr>
        <w:adjustRightInd w:val="0"/>
        <w:snapToGrid w:val="0"/>
        <w:spacing w:line="560" w:lineRule="exact"/>
        <w:ind w:firstLine="640" w:firstLineChars="200"/>
        <w:rPr>
          <w:rFonts w:hint="default" w:ascii="仿宋_GB2312" w:eastAsia="仿宋_GB2312" w:cs="仿宋_GB2312"/>
          <w:sz w:val="32"/>
          <w:szCs w:val="32"/>
          <w:lang w:val="en-US" w:eastAsia="zh-CN" w:bidi="ar"/>
        </w:rPr>
      </w:pPr>
      <w:r>
        <w:rPr>
          <w:rFonts w:hint="eastAsia" w:ascii="仿宋_GB2312" w:eastAsia="仿宋_GB2312" w:cs="仿宋_GB2312"/>
          <w:sz w:val="32"/>
          <w:szCs w:val="32"/>
          <w:lang w:val="en-US" w:eastAsia="zh-CN" w:bidi="ar"/>
        </w:rPr>
        <w:t>第一年方案：（包括但不限于：建设模式、运维方案、项目筛选机制、算力分配方案、预算等），后两年方案根据第一年建设运维情况于第一年底报送。</w:t>
      </w:r>
      <w:bookmarkStart w:id="1" w:name="_GoBack"/>
      <w:bookmarkEnd w:id="1"/>
    </w:p>
    <w:p w14:paraId="631B7FF2">
      <w:pPr>
        <w:adjustRightInd w:val="0"/>
        <w:snapToGrid w:val="0"/>
        <w:spacing w:after="0" w:line="560" w:lineRule="exact"/>
        <w:ind w:firstLine="440"/>
        <w:rPr>
          <w:rFonts w:hint="eastAsia" w:ascii="仿宋_GB2312" w:eastAsia="仿宋_GB2312"/>
          <w:sz w:val="28"/>
          <w:szCs w:val="28"/>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C91B84-7484-429F-ABC1-FACA64D3EA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CA9565D-FFDB-4BD7-B3A3-1FC38216332A}"/>
  </w:font>
  <w:font w:name="方正小标宋简体">
    <w:panose1 w:val="02000000000000000000"/>
    <w:charset w:val="86"/>
    <w:family w:val="auto"/>
    <w:pitch w:val="default"/>
    <w:sig w:usb0="00000001" w:usb1="08000000" w:usb2="00000000" w:usb3="00000000" w:csb0="00040000" w:csb1="00000000"/>
    <w:embedRegular r:id="rId3" w:fontKey="{71CA79D0-AAE2-40B9-9970-7E93BED917AB}"/>
  </w:font>
  <w:font w:name="楷体_GB2312">
    <w:panose1 w:val="02010609030101010101"/>
    <w:charset w:val="86"/>
    <w:family w:val="modern"/>
    <w:pitch w:val="default"/>
    <w:sig w:usb0="00000001" w:usb1="080E0000" w:usb2="00000000" w:usb3="00000000" w:csb0="00040000" w:csb1="00000000"/>
    <w:embedRegular r:id="rId4" w:fontKey="{3336C574-5A2B-4FB4-B35D-1727732030EF}"/>
  </w:font>
  <w:font w:name="仿宋">
    <w:panose1 w:val="02010609060101010101"/>
    <w:charset w:val="86"/>
    <w:family w:val="modern"/>
    <w:pitch w:val="default"/>
    <w:sig w:usb0="800002BF" w:usb1="38CF7CFA" w:usb2="00000016" w:usb3="00000000" w:csb0="00040001" w:csb1="00000000"/>
    <w:embedRegular r:id="rId5" w:fontKey="{52272316-6572-48DB-9461-DAAD91CC4546}"/>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TQxNjYxYjIzNTAwNjdkYzgxNjJlMmUyYjkwN2MifQ=="/>
  </w:docVars>
  <w:rsids>
    <w:rsidRoot w:val="00C33D5D"/>
    <w:rsid w:val="002D5DDC"/>
    <w:rsid w:val="002F1F79"/>
    <w:rsid w:val="00624484"/>
    <w:rsid w:val="00676CF9"/>
    <w:rsid w:val="008754C1"/>
    <w:rsid w:val="00C33D5D"/>
    <w:rsid w:val="08590A6A"/>
    <w:rsid w:val="0C7039F0"/>
    <w:rsid w:val="10881C5B"/>
    <w:rsid w:val="41041281"/>
    <w:rsid w:val="4C8E6D4D"/>
    <w:rsid w:val="53045F28"/>
    <w:rsid w:val="5CFF0301"/>
    <w:rsid w:val="62683B41"/>
    <w:rsid w:val="65530E7B"/>
    <w:rsid w:val="76E5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msolistparagraph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1516</Words>
  <Characters>1622</Characters>
  <Lines>13</Lines>
  <Paragraphs>3</Paragraphs>
  <TotalTime>3</TotalTime>
  <ScaleCrop>false</ScaleCrop>
  <LinksUpToDate>false</LinksUpToDate>
  <CharactersWithSpaces>1636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2024-10-28T01:22:00Z</dcterms:created>
  <dc:creator>shan xue</dc:creator>
  <cp:lastModifiedBy>一人一语</cp:lastModifiedBy>
  <dcterms:modified xsi:type="dcterms:W3CDTF">2024-10-30T09:27:23Z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7687F60BC668414DA0BA6F7B017ACB50_12</vt:lpwstr>
  </property>
</Properties>
</file>