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rPr>
          <w:rFonts w:hint="default" w:eastAsia="宋体"/>
          <w:sz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highlight w:val="none"/>
        </w:rPr>
      </w:pPr>
      <w:bookmarkStart w:id="0" w:name="_GoBack"/>
      <w:r>
        <w:rPr>
          <w:rFonts w:hint="eastAsia" w:ascii="方正小标宋简体" w:hAnsi="方正小标宋简体" w:eastAsia="方正小标宋简体" w:cs="方正小标宋简体"/>
          <w:sz w:val="44"/>
          <w:szCs w:val="44"/>
          <w:highlight w:val="none"/>
        </w:rPr>
        <w:t>石景山区</w:t>
      </w:r>
      <w:r>
        <w:rPr>
          <w:rFonts w:hint="eastAsia" w:ascii="方正小标宋简体" w:hAnsi="方正小标宋简体" w:eastAsia="方正小标宋简体" w:cs="方正小标宋简体"/>
          <w:sz w:val="44"/>
          <w:szCs w:val="44"/>
          <w:highlight w:val="none"/>
          <w:lang w:eastAsia="zh-CN"/>
        </w:rPr>
        <w:t>推动商务</w:t>
      </w:r>
      <w:r>
        <w:rPr>
          <w:rFonts w:hint="eastAsia" w:ascii="方正小标宋简体" w:hAnsi="方正小标宋简体" w:eastAsia="方正小标宋简体" w:cs="方正小标宋简体"/>
          <w:sz w:val="44"/>
          <w:szCs w:val="44"/>
          <w:highlight w:val="none"/>
        </w:rPr>
        <w:t>高质量发展</w:t>
      </w:r>
      <w:r>
        <w:rPr>
          <w:rFonts w:hint="eastAsia" w:ascii="方正小标宋简体" w:hAnsi="方正小标宋简体" w:eastAsia="方正小标宋简体" w:cs="方正小标宋简体"/>
          <w:sz w:val="44"/>
          <w:szCs w:val="44"/>
          <w:highlight w:val="none"/>
          <w:lang w:eastAsia="zh-CN"/>
        </w:rPr>
        <w:t>的</w:t>
      </w:r>
      <w:r>
        <w:rPr>
          <w:rFonts w:hint="eastAsia" w:ascii="方正小标宋简体" w:hAnsi="方正小标宋简体" w:eastAsia="方正小标宋简体" w:cs="方正小标宋简体"/>
          <w:sz w:val="44"/>
          <w:szCs w:val="44"/>
          <w:highlight w:val="none"/>
        </w:rPr>
        <w:t>若干措施</w:t>
      </w:r>
    </w:p>
    <w:p>
      <w:pPr>
        <w:pStyle w:val="2"/>
        <w:ind w:firstLine="3200" w:firstLineChars="1000"/>
        <w:jc w:val="both"/>
        <w:rPr>
          <w:rFonts w:hint="eastAsia" w:ascii="仿宋_GB2312" w:hAnsi="仿宋_GB2312" w:eastAsia="仿宋_GB2312" w:cs="仿宋_GB2312"/>
          <w:lang w:val="en-US" w:eastAsia="zh-CN"/>
        </w:rPr>
      </w:pPr>
      <w:r>
        <w:rPr>
          <w:rFonts w:hint="eastAsia" w:ascii="仿宋_GB2312" w:hAnsi="仿宋_GB2312" w:cs="仿宋_GB2312"/>
          <w:lang w:val="en-US" w:eastAsia="zh-CN"/>
        </w:rPr>
        <w:t>（</w:t>
      </w:r>
      <w:r>
        <w:rPr>
          <w:rFonts w:hint="eastAsia" w:ascii="仿宋_GB2312" w:hAnsi="仿宋_GB2312" w:eastAsia="仿宋_GB2312" w:cs="仿宋_GB2312"/>
        </w:rPr>
        <w:t>征求意见稿</w:t>
      </w:r>
      <w:r>
        <w:rPr>
          <w:rFonts w:hint="eastAsia" w:ascii="仿宋_GB2312" w:hAnsi="仿宋_GB2312" w:cs="仿宋_GB2312"/>
          <w:lang w:val="en-US" w:eastAsia="zh-CN"/>
        </w:rPr>
        <w:t>）</w:t>
      </w:r>
    </w:p>
    <w:bookmarkEnd w:id="0"/>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为全面贯彻新发展理念，更好融入“五子”联动格局，支撑区域高精尖产业发展和城市功能提升，加快释放消费升级活力，有力推动</w:t>
      </w:r>
      <w:r>
        <w:rPr>
          <w:rFonts w:hint="eastAsia" w:ascii="仿宋_GB2312" w:hAnsi="仿宋_GB2312" w:cs="仿宋_GB2312"/>
          <w:sz w:val="32"/>
          <w:szCs w:val="32"/>
          <w:highlight w:val="none"/>
          <w:lang w:val="en-US" w:eastAsia="zh-CN"/>
        </w:rPr>
        <w:t>商务</w:t>
      </w:r>
      <w:r>
        <w:rPr>
          <w:rFonts w:hint="eastAsia" w:ascii="仿宋_GB2312" w:hAnsi="仿宋_GB2312" w:eastAsia="仿宋_GB2312" w:cs="仿宋_GB2312"/>
          <w:sz w:val="32"/>
          <w:szCs w:val="32"/>
          <w:highlight w:val="none"/>
          <w:lang w:val="en-US" w:eastAsia="zh-CN"/>
        </w:rPr>
        <w:t>高质量发展，特制订本措施。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b/>
          <w:bCs/>
          <w:sz w:val="32"/>
          <w:szCs w:val="32"/>
          <w:highlight w:val="none"/>
          <w:lang w:val="en-US" w:eastAsia="zh-CN"/>
        </w:rPr>
        <w:t xml:space="preserve">第一条  </w:t>
      </w:r>
      <w:r>
        <w:rPr>
          <w:rFonts w:hint="default" w:ascii="仿宋_GB2312" w:hAnsi="仿宋_GB2312" w:eastAsia="仿宋_GB2312" w:cs="仿宋_GB2312"/>
          <w:b/>
          <w:bCs/>
          <w:sz w:val="32"/>
          <w:szCs w:val="32"/>
          <w:highlight w:val="none"/>
          <w:lang w:val="en-US" w:eastAsia="zh-CN"/>
        </w:rPr>
        <w:t>支持</w:t>
      </w:r>
      <w:r>
        <w:rPr>
          <w:rFonts w:hint="eastAsia" w:ascii="仿宋_GB2312" w:hAnsi="仿宋_GB2312" w:eastAsia="仿宋_GB2312" w:cs="仿宋_GB2312"/>
          <w:b/>
          <w:bCs/>
          <w:sz w:val="32"/>
          <w:szCs w:val="32"/>
          <w:highlight w:val="none"/>
          <w:lang w:val="en-US" w:eastAsia="zh-CN"/>
        </w:rPr>
        <w:t>知名首店品牌集聚。</w:t>
      </w:r>
      <w:r>
        <w:rPr>
          <w:rFonts w:hint="eastAsia" w:ascii="仿宋_GB2312" w:hAnsi="仿宋_GB2312" w:eastAsia="仿宋_GB2312" w:cs="仿宋_GB2312"/>
          <w:sz w:val="32"/>
          <w:szCs w:val="32"/>
          <w:highlight w:val="none"/>
          <w:lang w:val="en-US" w:eastAsia="zh-CN"/>
        </w:rPr>
        <w:t>对经认定的亚洲首店、中国（内地）首店、北京首店、旗舰店、创新概念店，给予最高100万元资金支持。对经认定的石景山区首店，给予最高50万元资金支持。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第二条  支持商业市场规模扩容。</w:t>
      </w:r>
      <w:r>
        <w:rPr>
          <w:rFonts w:hint="eastAsia" w:ascii="仿宋_GB2312" w:hAnsi="仿宋_GB2312" w:eastAsia="仿宋_GB2312" w:cs="仿宋_GB2312"/>
          <w:color w:val="auto"/>
          <w:kern w:val="2"/>
          <w:sz w:val="32"/>
          <w:szCs w:val="32"/>
          <w:highlight w:val="none"/>
          <w:lang w:val="en-US" w:eastAsia="zh-CN" w:bidi="ar-SA"/>
        </w:rPr>
        <w:t>鼓励批发和零售企业落地，根据年</w:t>
      </w:r>
      <w:r>
        <w:rPr>
          <w:rFonts w:hint="eastAsia" w:ascii="仿宋_GB2312" w:hAnsi="仿宋_GB2312" w:cs="仿宋_GB2312"/>
          <w:color w:val="auto"/>
          <w:kern w:val="2"/>
          <w:sz w:val="32"/>
          <w:szCs w:val="32"/>
          <w:highlight w:val="none"/>
          <w:lang w:val="en-US" w:eastAsia="zh-CN" w:bidi="ar-SA"/>
        </w:rPr>
        <w:t>度主营业务收入</w:t>
      </w:r>
      <w:r>
        <w:rPr>
          <w:rFonts w:hint="eastAsia" w:ascii="仿宋_GB2312" w:hAnsi="仿宋_GB2312" w:eastAsia="仿宋_GB2312" w:cs="仿宋_GB2312"/>
          <w:color w:val="auto"/>
          <w:kern w:val="2"/>
          <w:sz w:val="32"/>
          <w:szCs w:val="32"/>
          <w:highlight w:val="none"/>
          <w:lang w:val="en-US" w:eastAsia="zh-CN" w:bidi="ar-SA"/>
        </w:rPr>
        <w:t>规模，给予最高100万元资金支持。对帮助</w:t>
      </w:r>
      <w:r>
        <w:rPr>
          <w:rFonts w:hint="eastAsia" w:ascii="仿宋_GB2312" w:hAnsi="仿宋_GB2312" w:cs="仿宋_GB2312"/>
          <w:color w:val="auto"/>
          <w:kern w:val="2"/>
          <w:sz w:val="32"/>
          <w:szCs w:val="32"/>
          <w:highlight w:val="none"/>
          <w:lang w:val="en-US" w:eastAsia="zh-CN" w:bidi="ar-SA"/>
        </w:rPr>
        <w:t>石景山区</w:t>
      </w:r>
      <w:r>
        <w:rPr>
          <w:rFonts w:hint="eastAsia" w:ascii="仿宋_GB2312" w:hAnsi="仿宋_GB2312" w:eastAsia="仿宋_GB2312" w:cs="仿宋_GB2312"/>
          <w:color w:val="auto"/>
          <w:kern w:val="2"/>
          <w:sz w:val="32"/>
          <w:szCs w:val="32"/>
          <w:highlight w:val="none"/>
          <w:lang w:val="en-US" w:eastAsia="zh-CN" w:bidi="ar-SA"/>
        </w:rPr>
        <w:t>对口帮扶地区销售农特产品的</w:t>
      </w:r>
      <w:r>
        <w:rPr>
          <w:rFonts w:hint="eastAsia" w:ascii="仿宋_GB2312" w:hAnsi="仿宋_GB2312" w:cs="仿宋_GB2312"/>
          <w:color w:val="auto"/>
          <w:kern w:val="2"/>
          <w:sz w:val="32"/>
          <w:szCs w:val="32"/>
          <w:highlight w:val="none"/>
          <w:lang w:val="en-US" w:eastAsia="zh-CN" w:bidi="ar-SA"/>
        </w:rPr>
        <w:t>企业</w:t>
      </w:r>
      <w:r>
        <w:rPr>
          <w:rFonts w:hint="eastAsia" w:ascii="仿宋_GB2312" w:hAnsi="仿宋_GB2312" w:eastAsia="仿宋_GB2312" w:cs="仿宋_GB2312"/>
          <w:color w:val="auto"/>
          <w:kern w:val="2"/>
          <w:sz w:val="32"/>
          <w:szCs w:val="32"/>
          <w:highlight w:val="none"/>
          <w:lang w:val="en-US" w:eastAsia="zh-CN" w:bidi="ar-SA"/>
        </w:rPr>
        <w:t>，给予最高20万元资金支持。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b/>
          <w:bCs/>
          <w:sz w:val="32"/>
          <w:szCs w:val="32"/>
          <w:highlight w:val="none"/>
          <w:lang w:val="en-US" w:eastAsia="zh-CN"/>
        </w:rPr>
        <w:t>第三条  支持商业设施品质升级。</w:t>
      </w:r>
      <w:r>
        <w:rPr>
          <w:rFonts w:hint="eastAsia" w:ascii="仿宋_GB2312" w:hAnsi="仿宋_GB2312" w:eastAsia="仿宋_GB2312" w:cs="仿宋_GB2312"/>
          <w:sz w:val="32"/>
          <w:szCs w:val="32"/>
          <w:highlight w:val="none"/>
          <w:lang w:val="en-US" w:eastAsia="zh-CN"/>
        </w:rPr>
        <w:t>支持符合条件的购物中心、百货、专业专卖店等商业设施改造升级，按照实际投资额单个项目给予最高200万元资金支持。在依法依规的前提下，鼓励在公园、等级景区、公共体育场馆、演出场所内开设满足大众消费的餐厅，给予最高10万元资金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第四条  支持特色消费品牌打造。</w:t>
      </w:r>
      <w:r>
        <w:rPr>
          <w:rFonts w:hint="eastAsia" w:ascii="仿宋_GB2312" w:hAnsi="仿宋_GB2312" w:eastAsia="仿宋_GB2312" w:cs="仿宋_GB2312"/>
          <w:kern w:val="2"/>
          <w:sz w:val="32"/>
          <w:szCs w:val="32"/>
          <w:highlight w:val="none"/>
          <w:lang w:val="en-US" w:eastAsia="zh-CN" w:bidi="ar-SA"/>
        </w:rPr>
        <w:t>对新获得北京市“夜京城”特色消费地标、打卡地</w:t>
      </w:r>
      <w:r>
        <w:rPr>
          <w:rFonts w:hint="eastAsia" w:ascii="仿宋_GB2312" w:hAnsi="仿宋_GB2312" w:cs="仿宋_GB2312"/>
          <w:kern w:val="2"/>
          <w:sz w:val="32"/>
          <w:szCs w:val="32"/>
          <w:highlight w:val="none"/>
          <w:lang w:val="en-US" w:eastAsia="zh-CN" w:bidi="ar-SA"/>
        </w:rPr>
        <w:t>和</w:t>
      </w:r>
      <w:r>
        <w:rPr>
          <w:rFonts w:hint="eastAsia" w:ascii="仿宋_GB2312" w:hAnsi="仿宋_GB2312" w:eastAsia="仿宋_GB2312" w:cs="仿宋_GB2312"/>
          <w:kern w:val="2"/>
          <w:sz w:val="32"/>
          <w:szCs w:val="32"/>
          <w:highlight w:val="none"/>
          <w:lang w:val="en-US" w:eastAsia="zh-CN" w:bidi="ar-SA"/>
        </w:rPr>
        <w:t>生活圈等评选认定的企业，给予最高20万元资金支持。对首次入选国内外知名榜单的餐饮企业，给予最高10万元资金支持。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3"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第五条  支持特色商业活动举办。</w:t>
      </w:r>
      <w:r>
        <w:rPr>
          <w:rFonts w:hint="default" w:ascii="仿宋_GB2312" w:hAnsi="仿宋_GB2312" w:eastAsia="仿宋_GB2312" w:cs="仿宋_GB2312"/>
          <w:sz w:val="32"/>
          <w:szCs w:val="32"/>
          <w:highlight w:val="none"/>
          <w:lang w:val="en-US" w:eastAsia="zh-CN"/>
        </w:rPr>
        <w:t>对在石景山区</w:t>
      </w:r>
      <w:r>
        <w:rPr>
          <w:rFonts w:hint="eastAsia" w:ascii="仿宋_GB2312" w:hAnsi="仿宋_GB2312" w:eastAsia="仿宋_GB2312" w:cs="仿宋_GB2312"/>
          <w:sz w:val="32"/>
          <w:szCs w:val="32"/>
          <w:highlight w:val="none"/>
          <w:lang w:val="en-US" w:eastAsia="zh-CN"/>
        </w:rPr>
        <w:t>举办知名首发首秀活动、国际化消费活动及特色主题活动，给予最高50万元资金支持。对主办或承办区级以上大型商业活动、自主策划举办促消费活动的，给予最高20万元资金支持。对在石景山区举办的具有国内外影响力、符合区域发展定位的会展活动，给予最高50万元资金支持。</w:t>
      </w:r>
    </w:p>
    <w:p>
      <w:pPr>
        <w:widowControl/>
        <w:pBdr>
          <w:top w:val="none" w:color="auto" w:sz="0" w:space="0"/>
          <w:left w:val="none" w:color="auto" w:sz="0" w:space="0"/>
          <w:bottom w:val="none" w:color="auto" w:sz="0" w:space="0"/>
          <w:right w:val="none" w:color="auto" w:sz="0" w:space="0"/>
        </w:pBdr>
        <w:shd w:val="clear" w:color="auto" w:fill="auto"/>
        <w:spacing w:before="0" w:beforeAutospacing="0" w:after="0" w:afterAutospacing="0" w:line="560" w:lineRule="exact"/>
        <w:ind w:left="0" w:right="0" w:firstLine="643" w:firstLineChars="200"/>
        <w:jc w:val="left"/>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第六条  支持跨境消费提质升级。</w:t>
      </w:r>
      <w:r>
        <w:rPr>
          <w:rFonts w:hint="eastAsia" w:ascii="仿宋_GB2312" w:hAnsi="仿宋_GB2312" w:eastAsia="仿宋_GB2312" w:cs="仿宋_GB2312"/>
          <w:kern w:val="2"/>
          <w:sz w:val="32"/>
          <w:szCs w:val="32"/>
          <w:highlight w:val="none"/>
          <w:lang w:val="en-US" w:eastAsia="zh-CN" w:bidi="ar-SA"/>
        </w:rPr>
        <w:t>对经北京市认定新入选的离境退税商店、离境退税“即买即退”试点商店，给予最高10万元资金支持。支持跨境电商企业发展，根据线上交易额</w:t>
      </w:r>
      <w:r>
        <w:rPr>
          <w:rFonts w:hint="eastAsia" w:ascii="仿宋_GB2312" w:hAnsi="仿宋_GB2312" w:cs="仿宋_GB2312"/>
          <w:kern w:val="2"/>
          <w:sz w:val="32"/>
          <w:szCs w:val="32"/>
          <w:highlight w:val="none"/>
          <w:lang w:val="en-US" w:eastAsia="zh-CN" w:bidi="ar-SA"/>
        </w:rPr>
        <w:t>或</w:t>
      </w:r>
      <w:r>
        <w:rPr>
          <w:rFonts w:hint="eastAsia" w:ascii="仿宋_GB2312" w:hAnsi="仿宋_GB2312" w:eastAsia="仿宋_GB2312" w:cs="仿宋_GB2312"/>
          <w:kern w:val="2"/>
          <w:sz w:val="32"/>
          <w:szCs w:val="32"/>
          <w:highlight w:val="none"/>
          <w:lang w:val="en-US" w:eastAsia="zh-CN" w:bidi="ar-SA"/>
        </w:rPr>
        <w:t>进出口贸易额，给予最高30万元资金支持。</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第七条  支</w:t>
      </w:r>
      <w:r>
        <w:rPr>
          <w:rStyle w:val="20"/>
          <w:rFonts w:hint="eastAsia" w:ascii="仿宋_GB2312" w:hAnsi="仿宋_GB2312" w:eastAsia="仿宋_GB2312" w:cs="仿宋_GB2312"/>
          <w:b/>
          <w:bCs/>
          <w:color w:val="000000"/>
          <w:kern w:val="2"/>
          <w:sz w:val="32"/>
          <w:szCs w:val="32"/>
          <w:highlight w:val="none"/>
          <w:lang w:val="en-US" w:eastAsia="zh-CN" w:bidi="ar-SA"/>
        </w:rPr>
        <w:t>持便民服务体系建设。</w:t>
      </w:r>
      <w:r>
        <w:rPr>
          <w:rStyle w:val="20"/>
          <w:rFonts w:hint="eastAsia" w:ascii="仿宋_GB2312" w:hAnsi="仿宋_GB2312" w:eastAsia="仿宋_GB2312" w:cs="仿宋_GB2312"/>
          <w:bCs/>
          <w:color w:val="000000"/>
          <w:kern w:val="2"/>
          <w:sz w:val="32"/>
          <w:szCs w:val="32"/>
          <w:highlight w:val="none"/>
          <w:lang w:val="en-US" w:eastAsia="zh-CN" w:bidi="ar-SA"/>
        </w:rPr>
        <w:t>对新建的便民生活圈基本保障类业态网点，给予最高20万元资金支持。对新建或改造的一站式商业便民服务中心，给予最高60万元资金支持。</w:t>
      </w:r>
    </w:p>
    <w:p>
      <w:pPr>
        <w:numPr>
          <w:ilvl w:val="0"/>
          <w:numId w:val="0"/>
        </w:numPr>
        <w:spacing w:line="560" w:lineRule="exact"/>
        <w:ind w:firstLine="643" w:firstLineChars="200"/>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sz w:val="32"/>
          <w:szCs w:val="32"/>
          <w:highlight w:val="none"/>
          <w:lang w:val="en-US" w:eastAsia="zh-CN"/>
        </w:rPr>
        <w:t xml:space="preserve">第八条  </w:t>
      </w:r>
      <w:r>
        <w:rPr>
          <w:rFonts w:hint="eastAsia" w:ascii="仿宋_GB2312" w:hAnsi="仿宋_GB2312" w:eastAsia="仿宋_GB2312" w:cs="仿宋_GB2312"/>
          <w:b/>
          <w:bCs/>
          <w:kern w:val="2"/>
          <w:sz w:val="32"/>
          <w:szCs w:val="32"/>
          <w:highlight w:val="none"/>
          <w:lang w:val="en-US" w:eastAsia="zh-CN" w:bidi="ar-SA"/>
        </w:rPr>
        <w:t>支持商务服务规模发展。</w:t>
      </w:r>
      <w:r>
        <w:rPr>
          <w:rFonts w:hint="eastAsia" w:ascii="仿宋_GB2312" w:hAnsi="仿宋_GB2312" w:eastAsia="仿宋_GB2312" w:cs="仿宋_GB2312"/>
          <w:b w:val="0"/>
          <w:bCs w:val="0"/>
          <w:kern w:val="2"/>
          <w:sz w:val="32"/>
          <w:szCs w:val="32"/>
          <w:highlight w:val="none"/>
          <w:lang w:val="en-US" w:eastAsia="zh-CN" w:bidi="ar-SA"/>
        </w:rPr>
        <w:t>对</w:t>
      </w:r>
      <w:r>
        <w:rPr>
          <w:rFonts w:hint="eastAsia" w:ascii="仿宋_GB2312" w:hAnsi="仿宋_GB2312" w:cs="仿宋_GB2312"/>
          <w:b w:val="0"/>
          <w:bCs w:val="0"/>
          <w:sz w:val="32"/>
          <w:szCs w:val="32"/>
          <w:highlight w:val="none"/>
          <w:lang w:val="en-US" w:eastAsia="zh-CN"/>
        </w:rPr>
        <w:t>租赁和</w:t>
      </w:r>
      <w:r>
        <w:rPr>
          <w:rFonts w:hint="eastAsia" w:ascii="仿宋_GB2312" w:hAnsi="仿宋_GB2312" w:eastAsia="仿宋_GB2312" w:cs="仿宋_GB2312"/>
          <w:b w:val="0"/>
          <w:bCs w:val="0"/>
          <w:sz w:val="32"/>
          <w:szCs w:val="32"/>
          <w:highlight w:val="none"/>
          <w:lang w:val="en-US" w:eastAsia="zh-CN"/>
        </w:rPr>
        <w:t>商务服务业企业，根据营业收入及增速，给予最高50万元资金支持。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val="0"/>
          <w:bCs w:val="0"/>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第九条  支持外商企业投资落地。</w:t>
      </w:r>
      <w:r>
        <w:rPr>
          <w:rFonts w:hint="eastAsia" w:ascii="仿宋_GB2312" w:hAnsi="仿宋_GB2312" w:eastAsia="仿宋_GB2312" w:cs="仿宋_GB2312"/>
          <w:b w:val="0"/>
          <w:bCs w:val="0"/>
          <w:kern w:val="2"/>
          <w:sz w:val="32"/>
          <w:szCs w:val="32"/>
          <w:highlight w:val="none"/>
          <w:lang w:val="en-US" w:eastAsia="zh-CN" w:bidi="ar-SA"/>
        </w:rPr>
        <w:t>对外商投资企业，经认定，根据实缴合同外资总额，给予最高500万元资金支持。</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t>附则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cs="仿宋_GB2312"/>
          <w:sz w:val="32"/>
          <w:szCs w:val="32"/>
          <w:highlight w:val="none"/>
          <w:lang w:val="en-US" w:eastAsia="zh-CN"/>
        </w:rPr>
      </w:pPr>
      <w:r>
        <w:rPr>
          <w:rFonts w:hint="eastAsia" w:ascii="仿宋_GB2312" w:hAnsi="仿宋_GB2312" w:cs="仿宋_GB2312"/>
          <w:sz w:val="32"/>
          <w:szCs w:val="32"/>
          <w:highlight w:val="none"/>
          <w:lang w:val="en-US" w:eastAsia="zh-CN"/>
        </w:rPr>
        <w:t>1.享受本措施支持的企业，不再同时享受本区其他同一类型的政策奖励。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在原《</w:t>
      </w:r>
      <w:r>
        <w:rPr>
          <w:rFonts w:hint="eastAsia" w:ascii="仿宋_GB2312" w:hAnsi="仿宋_GB2312" w:eastAsia="仿宋_GB2312" w:cs="仿宋_GB2312"/>
          <w:sz w:val="32"/>
          <w:szCs w:val="32"/>
          <w:highlight w:val="none"/>
          <w:lang w:val="en-US" w:eastAsia="zh-CN"/>
        </w:rPr>
        <w:t>石景山区促进消费增长和</w:t>
      </w:r>
      <w:r>
        <w:rPr>
          <w:rFonts w:hint="eastAsia" w:ascii="仿宋_GB2312" w:hAnsi="仿宋_GB2312" w:cs="仿宋_GB2312"/>
          <w:sz w:val="32"/>
          <w:szCs w:val="32"/>
          <w:highlight w:val="none"/>
          <w:lang w:val="en-US" w:eastAsia="zh-CN"/>
        </w:rPr>
        <w:t>商务高质</w:t>
      </w:r>
      <w:r>
        <w:rPr>
          <w:rFonts w:hint="eastAsia" w:ascii="仿宋_GB2312" w:hAnsi="仿宋_GB2312" w:eastAsia="仿宋_GB2312" w:cs="仿宋_GB2312"/>
          <w:sz w:val="32"/>
          <w:szCs w:val="32"/>
          <w:highlight w:val="none"/>
          <w:lang w:val="en-US" w:eastAsia="zh-CN"/>
        </w:rPr>
        <w:t>量发展若干措施</w:t>
      </w:r>
      <w:r>
        <w:rPr>
          <w:rFonts w:hint="eastAsia" w:ascii="仿宋_GB2312" w:hAnsi="仿宋_GB2312" w:eastAsia="仿宋_GB2312" w:cs="仿宋_GB2312"/>
          <w:sz w:val="32"/>
          <w:szCs w:val="32"/>
          <w:highlight w:val="none"/>
        </w:rPr>
        <w:t>》</w:t>
      </w:r>
      <w:r>
        <w:rPr>
          <w:rFonts w:hint="eastAsia" w:ascii="仿宋_GB2312" w:hAnsi="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i w:val="0"/>
          <w:caps w:val="0"/>
          <w:color w:val="000000" w:themeColor="text1"/>
          <w:spacing w:val="0"/>
          <w:sz w:val="32"/>
          <w:szCs w:val="32"/>
          <w:highlight w:val="none"/>
          <w:shd w:val="clear" w:fill="auto"/>
          <w14:textFill>
            <w14:solidFill>
              <w14:schemeClr w14:val="tx1"/>
            </w14:solidFill>
          </w14:textFill>
        </w:rPr>
        <w:t>石商务发〔2022〕9号</w:t>
      </w:r>
      <w:r>
        <w:rPr>
          <w:rFonts w:hint="eastAsia" w:ascii="仿宋_GB2312" w:hAnsi="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有效期内且符合政策要求的企业，自本</w:t>
      </w:r>
      <w:r>
        <w:rPr>
          <w:rFonts w:hint="eastAsia" w:ascii="仿宋_GB2312" w:hAnsi="仿宋_GB2312" w:cs="仿宋_GB2312"/>
          <w:color w:val="000000" w:themeColor="text1"/>
          <w:sz w:val="32"/>
          <w:szCs w:val="32"/>
          <w:highlight w:val="none"/>
          <w:lang w:eastAsia="zh-CN"/>
          <w14:textFill>
            <w14:solidFill>
              <w14:schemeClr w14:val="tx1"/>
            </w14:solidFill>
          </w14:textFill>
        </w:rPr>
        <w:t>措施</w:t>
      </w:r>
      <w:r>
        <w:rPr>
          <w:rFonts w:hint="eastAsia" w:ascii="仿宋_GB2312" w:hAnsi="仿宋_GB2312" w:eastAsia="仿宋_GB2312" w:cs="仿宋_GB2312"/>
          <w:color w:val="000000" w:themeColor="text1"/>
          <w:sz w:val="32"/>
          <w:szCs w:val="32"/>
          <w:highlight w:val="none"/>
          <w14:textFill>
            <w14:solidFill>
              <w14:schemeClr w14:val="tx1"/>
            </w14:solidFill>
          </w14:textFill>
        </w:rPr>
        <w:t>生效后，按照本</w:t>
      </w:r>
      <w:r>
        <w:rPr>
          <w:rFonts w:hint="eastAsia" w:ascii="仿宋_GB2312" w:hAnsi="仿宋_GB2312" w:cs="仿宋_GB2312"/>
          <w:color w:val="000000" w:themeColor="text1"/>
          <w:sz w:val="32"/>
          <w:szCs w:val="32"/>
          <w:highlight w:val="none"/>
          <w:lang w:eastAsia="zh-CN"/>
          <w14:textFill>
            <w14:solidFill>
              <w14:schemeClr w14:val="tx1"/>
            </w14:solidFill>
          </w14:textFill>
        </w:rPr>
        <w:t>措施</w:t>
      </w:r>
      <w:r>
        <w:rPr>
          <w:rFonts w:hint="eastAsia" w:ascii="仿宋_GB2312" w:hAnsi="仿宋_GB2312" w:eastAsia="仿宋_GB2312" w:cs="仿宋_GB2312"/>
          <w:color w:val="000000" w:themeColor="text1"/>
          <w:sz w:val="32"/>
          <w:szCs w:val="32"/>
          <w:highlight w:val="none"/>
          <w14:textFill>
            <w14:solidFill>
              <w14:schemeClr w14:val="tx1"/>
            </w14:solidFill>
          </w14:textFill>
        </w:rPr>
        <w:t>执行。本</w:t>
      </w:r>
      <w:r>
        <w:rPr>
          <w:rFonts w:hint="eastAsia" w:ascii="仿宋_GB2312" w:hAnsi="仿宋_GB2312" w:cs="仿宋_GB2312"/>
          <w:color w:val="000000" w:themeColor="text1"/>
          <w:sz w:val="32"/>
          <w:szCs w:val="32"/>
          <w:highlight w:val="none"/>
          <w:lang w:eastAsia="zh-CN"/>
          <w14:textFill>
            <w14:solidFill>
              <w14:schemeClr w14:val="tx1"/>
            </w14:solidFill>
          </w14:textFill>
        </w:rPr>
        <w:t>措施</w:t>
      </w:r>
      <w:r>
        <w:rPr>
          <w:rFonts w:hint="eastAsia" w:ascii="仿宋_GB2312" w:hAnsi="仿宋_GB2312" w:eastAsia="仿宋_GB2312" w:cs="仿宋_GB2312"/>
          <w:color w:val="000000" w:themeColor="text1"/>
          <w:sz w:val="32"/>
          <w:szCs w:val="32"/>
          <w:highlight w:val="none"/>
          <w14:textFill>
            <w14:solidFill>
              <w14:schemeClr w14:val="tx1"/>
            </w14:solidFill>
          </w14:textFill>
        </w:rPr>
        <w:t>由</w:t>
      </w:r>
      <w:r>
        <w:rPr>
          <w:rFonts w:hint="eastAsia" w:ascii="仿宋_GB2312" w:hAnsi="仿宋_GB2312" w:cs="仿宋_GB2312"/>
          <w:color w:val="000000" w:themeColor="text1"/>
          <w:sz w:val="32"/>
          <w:szCs w:val="32"/>
          <w:highlight w:val="none"/>
          <w:lang w:eastAsia="zh-CN"/>
          <w14:textFill>
            <w14:solidFill>
              <w14:schemeClr w14:val="tx1"/>
            </w14:solidFill>
          </w14:textFill>
        </w:rPr>
        <w:t>石景山区商务局负责</w:t>
      </w:r>
      <w:r>
        <w:rPr>
          <w:rFonts w:hint="eastAsia" w:ascii="仿宋_GB2312" w:hAnsi="仿宋_GB2312" w:eastAsia="仿宋_GB2312" w:cs="仿宋_GB2312"/>
          <w:color w:val="000000" w:themeColor="text1"/>
          <w:sz w:val="32"/>
          <w:szCs w:val="32"/>
          <w:highlight w:val="none"/>
          <w14:textFill>
            <w14:solidFill>
              <w14:schemeClr w14:val="tx1"/>
            </w14:solidFill>
          </w14:textFill>
        </w:rPr>
        <w:t>解释并协调解决实施过程中出现的问题</w:t>
      </w:r>
      <w:r>
        <w:rPr>
          <w:rFonts w:hint="eastAsia" w:ascii="仿宋_GB2312" w:hAnsi="仿宋_GB2312" w:cs="仿宋_GB2312"/>
          <w:color w:val="000000" w:themeColor="text1"/>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highlight w:val="none"/>
        </w:rPr>
      </w:pPr>
      <w:r>
        <w:rPr>
          <w:rFonts w:hint="eastAsia" w:ascii="仿宋_GB2312" w:hAnsi="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.本</w:t>
      </w:r>
      <w:r>
        <w:rPr>
          <w:rFonts w:hint="eastAsia" w:ascii="仿宋_GB2312" w:hAnsi="仿宋_GB2312" w:cs="仿宋_GB2312"/>
          <w:color w:val="000000" w:themeColor="text1"/>
          <w:sz w:val="32"/>
          <w:szCs w:val="32"/>
          <w:highlight w:val="none"/>
          <w:lang w:eastAsia="zh-CN"/>
          <w14:textFill>
            <w14:solidFill>
              <w14:schemeClr w14:val="tx1"/>
            </w14:solidFill>
          </w14:textFill>
        </w:rPr>
        <w:t>措施</w:t>
      </w:r>
      <w:r>
        <w:rPr>
          <w:rFonts w:hint="eastAsia" w:ascii="仿宋_GB2312" w:hAnsi="仿宋_GB2312" w:eastAsia="仿宋_GB2312" w:cs="仿宋_GB2312"/>
          <w:color w:val="000000" w:themeColor="text1"/>
          <w:sz w:val="32"/>
          <w:szCs w:val="32"/>
          <w:highlight w:val="none"/>
          <w14:textFill>
            <w14:solidFill>
              <w14:schemeClr w14:val="tx1"/>
            </w14:solidFill>
          </w14:textFill>
        </w:rPr>
        <w:t>自发布之日起生效，原《</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石景山区促进消费增长和</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商务高质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量发展若干措施</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i w:val="0"/>
          <w:caps w:val="0"/>
          <w:color w:val="000000" w:themeColor="text1"/>
          <w:spacing w:val="0"/>
          <w:sz w:val="32"/>
          <w:szCs w:val="32"/>
          <w:highlight w:val="none"/>
          <w:shd w:val="clear" w:fill="auto"/>
          <w14:textFill>
            <w14:solidFill>
              <w14:schemeClr w14:val="tx1"/>
            </w14:solidFill>
          </w14:textFill>
        </w:rPr>
        <w:t>石商务发〔2022〕9号</w:t>
      </w:r>
      <w:r>
        <w:rPr>
          <w:rFonts w:hint="eastAsia" w:ascii="仿宋_GB2312" w:hAnsi="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sz w:val="32"/>
          <w:szCs w:val="32"/>
          <w:highlight w:val="none"/>
        </w:rPr>
        <w:t>同时废止。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outlineLvl w:val="9"/>
        <w:rPr>
          <w:rFonts w:hint="eastAsia" w:ascii="仿宋_GB2312" w:hAnsi="仿宋_GB2312" w:eastAsia="仿宋_GB2312" w:cs="仿宋_GB2312"/>
          <w:b/>
          <w:bCs/>
          <w:sz w:val="32"/>
          <w:szCs w:val="32"/>
          <w:highlight w:val="none"/>
        </w:rPr>
      </w:pPr>
    </w:p>
    <w:p>
      <w:pPr>
        <w:keepNext w:val="0"/>
        <w:keepLines w:val="0"/>
        <w:pageBreakBefore w:val="0"/>
        <w:widowControl w:val="0"/>
        <w:tabs>
          <w:tab w:val="left" w:pos="1481"/>
        </w:tabs>
        <w:kinsoku/>
        <w:wordWrap/>
        <w:overflowPunct/>
        <w:topLinePunct w:val="0"/>
        <w:autoSpaceDE/>
        <w:autoSpaceDN/>
        <w:bidi w:val="0"/>
        <w:adjustRightInd/>
        <w:snapToGrid/>
        <w:spacing w:line="560" w:lineRule="exact"/>
        <w:ind w:leftChars="0" w:firstLine="0" w:firstLineChars="0"/>
        <w:jc w:val="both"/>
        <w:textAlignment w:val="auto"/>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pStyle w:val="2"/>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pStyle w:val="2"/>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pStyle w:val="2"/>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pStyle w:val="2"/>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pStyle w:val="2"/>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pStyle w:val="2"/>
        <w:rPr>
          <w:rFonts w:hint="eastAsia"/>
          <w:highlight w:val="none"/>
          <w:lang w:val="en-US" w:eastAsia="zh-CN"/>
        </w:rPr>
      </w:pPr>
    </w:p>
    <w:p>
      <w:pPr>
        <w:pStyle w:val="2"/>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pStyle w:val="2"/>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p>
    <w:p>
      <w:pPr>
        <w:keepNext w:val="0"/>
        <w:keepLines w:val="0"/>
        <w:pageBreakBefore w:val="0"/>
        <w:widowControl w:val="0"/>
        <w:tabs>
          <w:tab w:val="left" w:pos="1481"/>
        </w:tabs>
        <w:kinsoku/>
        <w:wordWrap/>
        <w:overflowPunct/>
        <w:topLinePunct w:val="0"/>
        <w:autoSpaceDE/>
        <w:autoSpaceDN/>
        <w:bidi w:val="0"/>
        <w:adjustRightInd/>
        <w:snapToGrid/>
        <w:spacing w:line="560" w:lineRule="exact"/>
        <w:ind w:leftChars="0" w:firstLine="0" w:firstLineChars="0"/>
        <w:jc w:val="both"/>
        <w:textAlignment w:val="auto"/>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pPr>
      <w:r>
        <w:rPr>
          <w:rFonts w:hint="eastAsia" w:ascii="黑体" w:hAnsi="黑体" w:eastAsia="黑体" w:cs="黑体"/>
          <w:color w:val="000000" w:themeColor="text1"/>
          <w:kern w:val="2"/>
          <w:sz w:val="32"/>
          <w:szCs w:val="21"/>
          <w:highlight w:val="none"/>
          <w:lang w:val="en-US" w:eastAsia="zh-CN" w:bidi="ar-SA"/>
          <w14:textFill>
            <w14:solidFill>
              <w14:schemeClr w14:val="tx1"/>
            </w14:solidFill>
          </w14:textFill>
        </w:rPr>
        <w:t>附件</w:t>
      </w:r>
    </w:p>
    <w:p>
      <w:pPr>
        <w:keepNext w:val="0"/>
        <w:keepLines w:val="0"/>
        <w:pageBreakBefore w:val="0"/>
        <w:widowControl w:val="0"/>
        <w:tabs>
          <w:tab w:val="left" w:pos="1481"/>
        </w:tabs>
        <w:kinsoku/>
        <w:wordWrap/>
        <w:overflowPunct/>
        <w:topLinePunct w:val="0"/>
        <w:autoSpaceDE/>
        <w:autoSpaceDN/>
        <w:bidi w:val="0"/>
        <w:adjustRightInd/>
        <w:snapToGrid/>
        <w:spacing w:line="400" w:lineRule="exact"/>
        <w:ind w:leftChars="0" w:firstLine="0" w:firstLineChars="0"/>
        <w:jc w:val="both"/>
        <w:textAlignment w:val="auto"/>
        <w:outlineLvl w:val="9"/>
        <w:rPr>
          <w:rFonts w:hint="default" w:ascii="黑体" w:hAnsi="黑体" w:eastAsia="黑体" w:cs="黑体"/>
          <w:color w:val="000000" w:themeColor="text1"/>
          <w:kern w:val="2"/>
          <w:sz w:val="32"/>
          <w:szCs w:val="21"/>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石景山区</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推动商务高质量发展的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若干措施</w:t>
      </w: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实施细则</w:t>
      </w:r>
    </w:p>
    <w:p>
      <w:pPr>
        <w:keepNext w:val="0"/>
        <w:keepLines w:val="0"/>
        <w:pageBreakBefore w:val="0"/>
        <w:widowControl w:val="0"/>
        <w:tabs>
          <w:tab w:val="left" w:pos="3772"/>
        </w:tabs>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Times New Roman" w:hAnsi="Times New Roman" w:eastAsia="仿宋_GB2312" w:cs="Times New Roman"/>
          <w:b/>
          <w:bCs/>
          <w:color w:val="000000" w:themeColor="text1"/>
          <w:sz w:val="32"/>
          <w:szCs w:val="32"/>
          <w:highlight w:val="none"/>
          <w:lang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加快释放消费活力，推动</w:t>
      </w:r>
      <w:r>
        <w:rPr>
          <w:rFonts w:hint="eastAsia" w:ascii="Times New Roman" w:hAnsi="Times New Roman" w:cs="Times New Roman"/>
          <w:color w:val="000000" w:themeColor="text1"/>
          <w:sz w:val="32"/>
          <w:szCs w:val="32"/>
          <w:highlight w:val="none"/>
          <w:lang w:eastAsia="zh-CN"/>
          <w14:textFill>
            <w14:solidFill>
              <w14:schemeClr w14:val="tx1"/>
            </w14:solidFill>
          </w14:textFill>
        </w:rPr>
        <w:t>商务</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高质量发展</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提高政策支持和引导效应，根据</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《石景山区推动</w:t>
      </w:r>
      <w:r>
        <w:rPr>
          <w:rFonts w:hint="eastAsia" w:ascii="Times New Roman" w:hAnsi="Times New Roman" w:cs="Times New Roman"/>
          <w:color w:val="000000" w:themeColor="text1"/>
          <w:sz w:val="32"/>
          <w:szCs w:val="32"/>
          <w:highlight w:val="none"/>
          <w:lang w:eastAsia="zh-CN"/>
          <w14:textFill>
            <w14:solidFill>
              <w14:schemeClr w14:val="tx1"/>
            </w14:solidFill>
          </w14:textFill>
        </w:rPr>
        <w:t>商务</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高质量发展的若干措施》（</w:t>
      </w:r>
      <w:r>
        <w:rPr>
          <w:rFonts w:hint="default" w:ascii="Times New Roman" w:hAnsi="Times New Roman" w:eastAsia="仿宋_GB2312" w:cs="Times New Roman"/>
          <w:bCs w:val="0"/>
          <w:color w:val="000000" w:themeColor="text1"/>
          <w:sz w:val="32"/>
          <w:szCs w:val="32"/>
          <w:highlight w:val="none"/>
          <w14:textFill>
            <w14:solidFill>
              <w14:schemeClr w14:val="tx1"/>
            </w14:solidFill>
          </w14:textFill>
        </w:rPr>
        <w:t>以下简称《若干措施》</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，制定本实施细则。</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outlineLvl w:val="0"/>
        <w:rPr>
          <w:rFonts w:hint="default" w:ascii="Times New Roman" w:hAnsi="Times New Roman" w:eastAsia="黑体" w:cs="Times New Roman"/>
          <w:b w:val="0"/>
          <w:bCs w:val="0"/>
          <w:color w:val="000000" w:themeColor="text1"/>
          <w:kern w:val="44"/>
          <w:sz w:val="32"/>
          <w:szCs w:val="32"/>
          <w:highlight w:val="none"/>
          <w:lang w:val="en-US" w:eastAsia="zh-CN" w:bidi="ar-SA"/>
          <w14:textFill>
            <w14:solidFill>
              <w14:schemeClr w14:val="tx1"/>
            </w14:solidFill>
          </w14:textFill>
        </w:rPr>
      </w:pPr>
      <w:r>
        <w:rPr>
          <w:rFonts w:hint="eastAsia" w:ascii="Times New Roman" w:hAnsi="Times New Roman" w:eastAsia="黑体" w:cs="Times New Roman"/>
          <w:b w:val="0"/>
          <w:bCs w:val="0"/>
          <w:color w:val="000000" w:themeColor="text1"/>
          <w:kern w:val="44"/>
          <w:sz w:val="32"/>
          <w:szCs w:val="32"/>
          <w:highlight w:val="none"/>
          <w:lang w:val="en-US" w:eastAsia="zh-CN" w:bidi="ar-SA"/>
          <w14:textFill>
            <w14:solidFill>
              <w14:schemeClr w14:val="tx1"/>
            </w14:solidFill>
          </w14:textFill>
        </w:rPr>
        <w:t>第一部分  总则</w: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1" w:firstLineChars="200"/>
        <w:contextualSpacing/>
        <w:jc w:val="both"/>
        <w:textAlignment w:val="auto"/>
        <w:outlineLvl w:val="1"/>
        <w:rPr>
          <w:rFonts w:hint="default" w:ascii="Times New Roman" w:hAnsi="Times New Roman" w:eastAsia="楷体_GB2312" w:cs="Times New Roman"/>
          <w:b/>
          <w:bCs/>
          <w:color w:val="000000" w:themeColor="text1"/>
          <w:kern w:val="2"/>
          <w:sz w:val="32"/>
          <w:szCs w:val="24"/>
          <w:highlight w:val="none"/>
          <w:lang w:val="en-US" w:eastAsia="zh-CN" w:bidi="ar-SA"/>
          <w14:textFill>
            <w14:solidFill>
              <w14:schemeClr w14:val="tx1"/>
            </w14:solidFill>
          </w14:textFill>
        </w:rPr>
      </w:pPr>
      <w:r>
        <w:rPr>
          <w:rFonts w:hint="default" w:ascii="Times New Roman" w:hAnsi="Times New Roman" w:eastAsia="楷体_GB2312" w:cs="Times New Roman"/>
          <w:b/>
          <w:bCs/>
          <w:color w:val="000000" w:themeColor="text1"/>
          <w:kern w:val="2"/>
          <w:sz w:val="32"/>
          <w:szCs w:val="24"/>
          <w:highlight w:val="none"/>
          <w:lang w:val="en-US" w:eastAsia="zh-CN" w:bidi="ar-SA"/>
          <w14:textFill>
            <w14:solidFill>
              <w14:schemeClr w14:val="tx1"/>
            </w14:solidFill>
          </w14:textFill>
        </w:rPr>
        <w:t>（一）支持对象</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根据《若干措施》的支持内容和方向，本</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政策</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适用的申报对象主要包括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1.消费领域的商业经营主体，包括商贸流通企业、</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商业</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品牌运营商、商业设施运营机构、便民</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生活</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服务机构等；2.商务领域的重点企业和机构，包括外商投资企业、</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租赁和</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商务服务业企业、</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跨境电商企业、</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会展机构</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、直播电商机构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等。</w:t>
      </w:r>
    </w:p>
    <w:p>
      <w:pPr>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left"/>
        <w:textAlignment w:val="auto"/>
        <w:outlineLvl w:val="9"/>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原则上，申报主体须在石景山区依法合规运营</w:t>
      </w:r>
      <w:r>
        <w:rPr>
          <w:rFonts w:hint="eastAsia" w:ascii="仿宋_GB2312" w:hAnsi="仿宋_GB2312" w:cs="仿宋_GB2312"/>
          <w:color w:val="000000" w:themeColor="text1"/>
          <w:szCs w:val="32"/>
          <w:highlight w:val="none"/>
          <w:lang w:eastAsia="zh-CN"/>
          <w14:textFill>
            <w14:solidFill>
              <w14:schemeClr w14:val="tx1"/>
            </w14:solidFill>
          </w14:textFill>
        </w:rPr>
        <w:t>，</w:t>
      </w:r>
      <w:r>
        <w:rPr>
          <w:rFonts w:hint="default" w:ascii="仿宋_GB2312" w:hAnsi="仿宋_GB2312" w:eastAsia="仿宋_GB2312" w:cs="仿宋_GB2312"/>
          <w:color w:val="000000" w:themeColor="text1"/>
          <w:szCs w:val="32"/>
          <w:highlight w:val="none"/>
          <w14:textFill>
            <w14:solidFill>
              <w14:schemeClr w14:val="tx1"/>
            </w14:solidFill>
          </w14:textFill>
        </w:rPr>
        <w:t>信用记录良好</w:t>
      </w:r>
      <w:r>
        <w:rPr>
          <w:rFonts w:hint="eastAsia" w:ascii="仿宋_GB2312" w:hAnsi="仿宋_GB2312" w:cs="仿宋_GB2312"/>
          <w:color w:val="000000" w:themeColor="text1"/>
          <w:szCs w:val="32"/>
          <w:highlight w:val="none"/>
          <w:lang w:eastAsia="zh-CN"/>
          <w14:textFill>
            <w14:solidFill>
              <w14:schemeClr w14:val="tx1"/>
            </w14:solidFill>
          </w14:textFill>
        </w:rPr>
        <w:t>，近三年未发生较大及以上</w:t>
      </w:r>
      <w:r>
        <w:rPr>
          <w:rFonts w:hint="default" w:ascii="仿宋_GB2312" w:hAnsi="仿宋_GB2312" w:eastAsia="仿宋_GB2312" w:cs="仿宋_GB2312"/>
          <w:color w:val="000000" w:themeColor="text1"/>
          <w:szCs w:val="32"/>
          <w:highlight w:val="none"/>
          <w14:textFill>
            <w14:solidFill>
              <w14:schemeClr w14:val="tx1"/>
            </w14:solidFill>
          </w14:textFill>
        </w:rPr>
        <w:t>生产安全事故。</w: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1" w:firstLineChars="200"/>
        <w:contextualSpacing/>
        <w:jc w:val="both"/>
        <w:textAlignment w:val="auto"/>
        <w:outlineLvl w:val="1"/>
        <w:rPr>
          <w:rFonts w:hint="default" w:ascii="Times New Roman" w:hAnsi="Times New Roman" w:eastAsia="楷体_GB2312" w:cs="Times New Roman"/>
          <w:b/>
          <w:bCs/>
          <w:color w:val="000000" w:themeColor="text1"/>
          <w:kern w:val="2"/>
          <w:sz w:val="32"/>
          <w:szCs w:val="24"/>
          <w:highlight w:val="none"/>
          <w:lang w:val="en-US" w:eastAsia="zh-CN" w:bidi="ar-SA"/>
          <w14:textFill>
            <w14:solidFill>
              <w14:schemeClr w14:val="tx1"/>
            </w14:solidFill>
          </w14:textFill>
        </w:rPr>
      </w:pPr>
      <w:r>
        <w:rPr>
          <w:rFonts w:hint="default" w:ascii="Times New Roman" w:hAnsi="Times New Roman" w:eastAsia="楷体_GB2312" w:cs="Times New Roman"/>
          <w:b/>
          <w:bCs/>
          <w:color w:val="000000" w:themeColor="text1"/>
          <w:kern w:val="2"/>
          <w:sz w:val="32"/>
          <w:szCs w:val="24"/>
          <w:highlight w:val="none"/>
          <w:lang w:val="en-US" w:eastAsia="zh-CN" w:bidi="ar-SA"/>
          <w14:textFill>
            <w14:solidFill>
              <w14:schemeClr w14:val="tx1"/>
            </w14:solidFill>
          </w14:textFill>
        </w:rPr>
        <w:t>（二）支持项目</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按照《若干措施》</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相关支持</w:t>
      </w:r>
      <w:r>
        <w:rPr>
          <w:rFonts w:hint="eastAsia" w:ascii="仿宋_GB2312" w:hAnsi="仿宋_GB2312" w:eastAsia="仿宋_GB2312" w:cs="仿宋_GB2312"/>
          <w:color w:val="000000" w:themeColor="text1"/>
          <w:sz w:val="32"/>
          <w:szCs w:val="32"/>
          <w:highlight w:val="none"/>
          <w14:textFill>
            <w14:solidFill>
              <w14:schemeClr w14:val="tx1"/>
            </w14:solidFill>
          </w14:textFill>
        </w:rPr>
        <w:t>内容，支持申报项目包括：</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支持知名首店品牌集聚</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支持商业市场规模扩容</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支持商业设施品质升级</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none"/>
          <w14:textFill>
            <w14:solidFill>
              <w14:schemeClr w14:val="tx1"/>
            </w14:solidFill>
          </w14:textFill>
        </w:rPr>
        <w:t>支持特色消费品牌打造</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14:textFill>
            <w14:solidFill>
              <w14:schemeClr w14:val="tx1"/>
            </w14:solidFill>
          </w14:textFill>
        </w:rPr>
        <w:t>支持特色商业活动举办</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14:textFill>
            <w14:solidFill>
              <w14:schemeClr w14:val="tx1"/>
            </w14:solidFill>
          </w14:textFill>
        </w:rPr>
        <w:t>支持跨境消费提质升级</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highlight w:val="none"/>
          <w14:textFill>
            <w14:solidFill>
              <w14:schemeClr w14:val="tx1"/>
            </w14:solidFill>
          </w14:textFill>
        </w:rPr>
        <w:t>支持便民服务体系建设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highlight w:val="none"/>
          <w14:textFill>
            <w14:solidFill>
              <w14:schemeClr w14:val="tx1"/>
            </w14:solidFill>
          </w14:textFill>
        </w:rPr>
        <w:t>支持商务服务规模发展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highlight w:val="none"/>
          <w14:textFill>
            <w14:solidFill>
              <w14:schemeClr w14:val="tx1"/>
            </w14:solidFill>
          </w14:textFill>
        </w:rPr>
        <w:t>支持外商企业投资落地。</w: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1" w:firstLineChars="200"/>
        <w:contextualSpacing/>
        <w:jc w:val="both"/>
        <w:textAlignment w:val="auto"/>
        <w:outlineLvl w:val="1"/>
        <w:rPr>
          <w:rFonts w:hint="default" w:ascii="Times New Roman" w:hAnsi="Times New Roman" w:eastAsia="楷体_GB2312" w:cs="Times New Roman"/>
          <w:b/>
          <w:bCs/>
          <w:color w:val="000000" w:themeColor="text1"/>
          <w:kern w:val="2"/>
          <w:sz w:val="32"/>
          <w:szCs w:val="24"/>
          <w:highlight w:val="none"/>
          <w:lang w:val="en-US" w:eastAsia="zh-CN" w:bidi="ar-SA"/>
          <w14:textFill>
            <w14:solidFill>
              <w14:schemeClr w14:val="tx1"/>
            </w14:solidFill>
          </w14:textFill>
        </w:rPr>
      </w:pPr>
      <w:r>
        <w:rPr>
          <w:rFonts w:hint="default" w:ascii="Times New Roman" w:hAnsi="Times New Roman" w:eastAsia="楷体_GB2312" w:cs="Times New Roman"/>
          <w:b/>
          <w:bCs/>
          <w:color w:val="000000" w:themeColor="text1"/>
          <w:kern w:val="2"/>
          <w:sz w:val="32"/>
          <w:szCs w:val="24"/>
          <w:highlight w:val="none"/>
          <w:lang w:val="en-US" w:eastAsia="zh-CN" w:bidi="ar-SA"/>
          <w14:textFill>
            <w14:solidFill>
              <w14:schemeClr w14:val="tx1"/>
            </w14:solidFill>
          </w14:textFill>
        </w:rPr>
        <w:t>（三）资金安排</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若干措施</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支持项目的金额，根据石景山区年度财政资金预算情况，</w:t>
      </w:r>
      <w:r>
        <w:rPr>
          <w:rFonts w:hint="eastAsia" w:ascii="Times New Roman" w:hAnsi="Times New Roman" w:cs="Times New Roman"/>
          <w:color w:val="000000" w:themeColor="text1"/>
          <w:sz w:val="32"/>
          <w:szCs w:val="32"/>
          <w:highlight w:val="none"/>
          <w:lang w:eastAsia="zh-CN"/>
          <w14:textFill>
            <w14:solidFill>
              <w14:schemeClr w14:val="tx1"/>
            </w14:solidFill>
          </w14:textFill>
        </w:rPr>
        <w:t>坚持</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从优不重复</w:t>
      </w:r>
      <w:r>
        <w:rPr>
          <w:rFonts w:hint="eastAsia" w:ascii="Times New Roman" w:hAnsi="Times New Roman" w:cs="Times New Roman"/>
          <w:color w:val="000000" w:themeColor="text1"/>
          <w:sz w:val="32"/>
          <w:szCs w:val="32"/>
          <w:highlight w:val="none"/>
          <w:lang w:eastAsia="zh-CN"/>
          <w14:textFill>
            <w14:solidFill>
              <w14:schemeClr w14:val="tx1"/>
            </w14:solidFill>
          </w14:textFill>
        </w:rPr>
        <w:t>的原则，并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在最高限额内进行适当调整。</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outlineLvl w:val="0"/>
        <w:rPr>
          <w:rFonts w:hint="default" w:ascii="Times New Roman" w:hAnsi="Times New Roman" w:eastAsia="仿宋_GB2312" w:cs="Times New Roman"/>
          <w:b/>
          <w:bCs/>
          <w:color w:val="000000" w:themeColor="text1"/>
          <w:kern w:val="44"/>
          <w:sz w:val="32"/>
          <w:szCs w:val="32"/>
          <w:highlight w:val="none"/>
          <w:lang w:val="en-US" w:eastAsia="zh-CN" w:bidi="ar-SA"/>
          <w14:textFill>
            <w14:solidFill>
              <w14:schemeClr w14:val="tx1"/>
            </w14:solidFill>
          </w14:textFill>
        </w:rPr>
      </w:pPr>
      <w:r>
        <w:rPr>
          <w:rFonts w:hint="eastAsia" w:ascii="Times New Roman" w:hAnsi="Times New Roman" w:eastAsia="黑体" w:cs="Times New Roman"/>
          <w:b w:val="0"/>
          <w:bCs w:val="0"/>
          <w:color w:val="000000" w:themeColor="text1"/>
          <w:kern w:val="44"/>
          <w:sz w:val="32"/>
          <w:szCs w:val="32"/>
          <w:highlight w:val="none"/>
          <w:lang w:val="en-US" w:eastAsia="zh-CN" w:bidi="ar-SA"/>
          <w14:textFill>
            <w14:solidFill>
              <w14:schemeClr w14:val="tx1"/>
            </w14:solidFill>
          </w14:textFill>
        </w:rPr>
        <w:t xml:space="preserve">第二部分  </w:t>
      </w:r>
      <w:r>
        <w:rPr>
          <w:rFonts w:hint="default" w:ascii="Times New Roman" w:hAnsi="Times New Roman" w:eastAsia="黑体" w:cs="Times New Roman"/>
          <w:b w:val="0"/>
          <w:bCs w:val="0"/>
          <w:color w:val="000000" w:themeColor="text1"/>
          <w:kern w:val="44"/>
          <w:sz w:val="32"/>
          <w:szCs w:val="32"/>
          <w:highlight w:val="none"/>
          <w:lang w:val="en-US" w:eastAsia="zh-CN" w:bidi="ar-SA"/>
          <w14:textFill>
            <w14:solidFill>
              <w14:schemeClr w14:val="tx1"/>
            </w14:solidFill>
          </w14:textFill>
        </w:rPr>
        <w:t>申报条件和支持标准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00" w:leftChars="0" w:firstLine="643" w:firstLineChars="200"/>
        <w:contextualSpacing/>
        <w:jc w:val="both"/>
        <w:textAlignment w:val="auto"/>
        <w:outlineLvl w:val="2"/>
        <w:rPr>
          <w:rFonts w:hint="eastAsia" w:ascii="仿宋_GB2312" w:hAnsi="仿宋_GB2312" w:eastAsia="仿宋_GB2312" w:cs="仿宋_GB2312"/>
          <w:b/>
          <w:bCs/>
          <w:color w:val="000000" w:themeColor="text1"/>
          <w:kern w:val="2"/>
          <w:sz w:val="32"/>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24"/>
          <w:highlight w:val="none"/>
          <w:lang w:val="en-US" w:eastAsia="zh-CN" w:bidi="ar-SA"/>
          <w14:textFill>
            <w14:solidFill>
              <w14:schemeClr w14:val="tx1"/>
            </w14:solidFill>
          </w14:textFill>
        </w:rPr>
        <w:t>第一条 支持知名首店品牌集聚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00" w:leftChars="0" w:firstLine="643" w:firstLineChars="200"/>
        <w:contextualSpacing/>
        <w:jc w:val="both"/>
        <w:textAlignment w:val="auto"/>
        <w:outlineLvl w:val="2"/>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1.申报条件</w:t>
      </w:r>
    </w:p>
    <w:p>
      <w:pPr>
        <w:keepNext w:val="0"/>
        <w:keepLines w:val="0"/>
        <w:pageBreakBefore w:val="0"/>
        <w:widowControl/>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（1）按照北京市《首店、首发活动、首发中心界定标准》（T/BJCC1003-2024），经认定的亚洲首店、中国（内地）首店、北京首店、旗舰店、创新概念店。</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经认定的首店品牌，在石景山区开设的首店</w:t>
      </w: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需</w:t>
      </w: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在石景山区持续</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经营</w:t>
      </w: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满</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12个月，并签订2年以上入驻协议。</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店面装修费、已支出房租（不超过12个月）、设备购置</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及配套硬件设施建设</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费用之和应超过</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50</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万元</w:t>
      </w:r>
      <w:r>
        <w:rPr>
          <w:rFonts w:hint="eastAsia" w:ascii="仿宋_GB2312" w:hAnsi="仿宋_GB2312" w:cs="仿宋_GB2312"/>
          <w:b w:val="0"/>
          <w:bCs w:val="0"/>
          <w:i w:val="0"/>
          <w:iCs w:val="0"/>
          <w:caps w:val="0"/>
          <w:color w:val="000000" w:themeColor="text1"/>
          <w:spacing w:val="0"/>
          <w:sz w:val="32"/>
          <w:szCs w:val="32"/>
          <w:highlight w:val="none"/>
          <w:shd w:val="clear" w:color="auto" w:fill="FFFFFF"/>
          <w:lang w:eastAsia="zh-CN"/>
          <w14:textFill>
            <w14:solidFill>
              <w14:schemeClr w14:val="tx1"/>
            </w14:solidFill>
          </w14:textFill>
        </w:rPr>
        <w:t>。</w:t>
      </w:r>
    </w:p>
    <w:p>
      <w:pPr>
        <w:keepNext w:val="0"/>
        <w:keepLines w:val="0"/>
        <w:pageBreakBefore w:val="0"/>
        <w:kinsoku/>
        <w:wordWrap/>
        <w:overflowPunct/>
        <w:topLinePunct w:val="0"/>
        <w:autoSpaceDE/>
        <w:autoSpaceDN/>
        <w:bidi w:val="0"/>
        <w:spacing w:line="560" w:lineRule="exact"/>
        <w:ind w:leftChars="0" w:firstLine="640"/>
        <w:textAlignment w:val="auto"/>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（3）品牌首店、旗舰店、创新概念店具有独立法人资格，餐饮类首店申报当年营业额须达到200万元以上，零售类首店申报当年零售额须达到500万元以上。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00" w:leftChars="0" w:firstLine="643" w:firstLineChars="200"/>
        <w:contextualSpacing/>
        <w:jc w:val="both"/>
        <w:textAlignment w:val="auto"/>
        <w:outlineLvl w:val="2"/>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2.支持标准</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仿宋_GB2312" w:eastAsia="仿宋_GB2312" w:cs="仿宋_GB2312"/>
          <w:b w:val="0"/>
          <w:bCs w:val="0"/>
          <w:color w:val="000000" w:themeColor="text1"/>
          <w:kern w:val="2"/>
          <w:sz w:val="32"/>
          <w:szCs w:val="21"/>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1）对经认定的亚洲首店、中国（内地）首店、北京首店、旗舰店、创新概念店，给予最高100万元的资金支持。①对经认定并获得北京市商务局关于首店项目支持的，亚洲首店按照市级支持资金的50%给予区级配套</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资金支持</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中国（内地）首店按照市级支持资金的30%给予区级配套资金支持，北京首店、旗舰店、创新概念店按照市级支持资金的20%给予区级配套资金支持。②对经认定但未获得市级资金支持的，亚洲首店按照开设首店第一年租金和店面装修（含装修设计</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费</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设备购置</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及配套硬件设施建设</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）投资总额的30%给予资金支持；中国（内地）首店按照开设首店第一年租金和店面装修（含装修设计</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费</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设备购置</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及配套硬件设施建设</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）投资总额的20%给予资金支持；北京首店、旗舰店、创新概念店按照开设首店第一年租金和店面装修（含装修设计</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费</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设备购置</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及配套硬件设施建设</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）投资总额的10%给予资金支持。</w:t>
      </w:r>
    </w:p>
    <w:p>
      <w:pPr>
        <w:keepNext w:val="0"/>
        <w:keepLines w:val="0"/>
        <w:pageBreakBefore w:val="0"/>
        <w:kinsoku/>
        <w:wordWrap/>
        <w:overflowPunct/>
        <w:topLinePunct w:val="0"/>
        <w:autoSpaceDE/>
        <w:autoSpaceDN/>
        <w:bidi w:val="0"/>
        <w:spacing w:line="560" w:lineRule="exact"/>
        <w:ind w:left="0" w:leftChars="0" w:right="0" w:rightChars="0" w:firstLine="640" w:firstLineChars="200"/>
        <w:textAlignment w:val="auto"/>
        <w:rPr>
          <w:rFonts w:hint="eastAsia" w:ascii="仿宋_GB2312" w:hAnsi="仿宋_GB2312" w:cs="仿宋_GB2312"/>
          <w:b w:val="0"/>
          <w:bCs w:val="0"/>
          <w:color w:val="000000" w:themeColor="text1"/>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）对经认定的石景山区首店，给予最高50万元资金支持。</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石景山区首店按照</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开设首店第一年租金和店面装修（含装修设计</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费</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设备购置</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及配套硬件设施建设</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）投资总额的</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10</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给予资金支持</w:t>
      </w: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第二条  支持商业市场规模扩容</w:t>
      </w:r>
    </w:p>
    <w:p>
      <w:pPr>
        <w:keepNext w:val="0"/>
        <w:keepLines w:val="0"/>
        <w:pageBreakBefore w:val="0"/>
        <w:kinsoku/>
        <w:wordWrap/>
        <w:overflowPunct/>
        <w:topLinePunct w:val="0"/>
        <w:autoSpaceDE/>
        <w:autoSpaceDN/>
        <w:bidi w:val="0"/>
        <w:spacing w:line="560" w:lineRule="exact"/>
        <w:ind w:left="0" w:leftChars="0" w:right="0" w:rightChars="0" w:firstLine="643" w:firstLineChars="200"/>
        <w:textAlignment w:val="auto"/>
        <w:rPr>
          <w:rFonts w:hint="eastAsia" w:ascii="仿宋_GB2312" w:hAnsi="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color w:val="000000" w:themeColor="text1"/>
          <w:sz w:val="32"/>
          <w:szCs w:val="32"/>
          <w:highlight w:val="none"/>
          <w:lang w:val="en-US" w:eastAsia="zh-CN"/>
          <w14:textFill>
            <w14:solidFill>
              <w14:schemeClr w14:val="tx1"/>
            </w14:solidFill>
          </w14:textFill>
        </w:rPr>
        <w:t>1.申报条件</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（1）</w:t>
      </w:r>
      <w:r>
        <w:rPr>
          <w:rFonts w:hint="eastAsia" w:ascii="仿宋_GB2312" w:hAnsi="仿宋_GB2312" w:cs="仿宋_GB2312"/>
          <w:bCs/>
          <w:color w:val="000000" w:themeColor="text1"/>
          <w:kern w:val="2"/>
          <w:sz w:val="32"/>
          <w:szCs w:val="32"/>
          <w:highlight w:val="none"/>
          <w:lang w:val="en-US" w:eastAsia="zh-CN" w:bidi="ar-SA"/>
          <w14:textFill>
            <w14:solidFill>
              <w14:schemeClr w14:val="tx1"/>
            </w14:solidFill>
          </w14:textFill>
        </w:rPr>
        <w:t>新落地</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批发企业年</w:t>
      </w:r>
      <w:r>
        <w:rPr>
          <w:rFonts w:hint="eastAsia" w:ascii="仿宋_GB2312" w:hAnsi="仿宋_GB2312" w:cs="仿宋_GB2312"/>
          <w:color w:val="000000" w:themeColor="text1"/>
          <w:kern w:val="2"/>
          <w:sz w:val="32"/>
          <w:szCs w:val="32"/>
          <w:highlight w:val="none"/>
          <w:lang w:val="en-US" w:eastAsia="zh-CN" w:bidi="ar-SA"/>
          <w14:textFill>
            <w14:solidFill>
              <w14:schemeClr w14:val="tx1"/>
            </w14:solidFill>
          </w14:textFill>
        </w:rPr>
        <w:t>度主营业务收入</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达到10亿元（含）以上，</w:t>
      </w:r>
      <w:r>
        <w:rPr>
          <w:rFonts w:hint="eastAsia" w:ascii="仿宋_GB2312" w:hAnsi="仿宋_GB2312" w:eastAsia="仿宋_GB2312" w:cs="仿宋_GB2312"/>
          <w:i w:val="0"/>
          <w:iCs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全年</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销售额</w:t>
      </w:r>
      <w:r>
        <w:rPr>
          <w:rFonts w:hint="eastAsia" w:ascii="仿宋_GB2312" w:hAnsi="仿宋_GB2312" w:eastAsia="仿宋_GB2312" w:cs="仿宋_GB2312"/>
          <w:i w:val="0"/>
          <w:iCs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增速高于全区</w:t>
      </w:r>
      <w:r>
        <w:rPr>
          <w:rFonts w:hint="eastAsia" w:ascii="仿宋_GB2312" w:hAnsi="仿宋_GB2312" w:cs="仿宋_GB2312"/>
          <w:i w:val="0"/>
          <w:iCs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批发和零售销售额</w:t>
      </w:r>
      <w:r>
        <w:rPr>
          <w:rFonts w:hint="eastAsia" w:ascii="仿宋_GB2312" w:hAnsi="仿宋_GB2312" w:eastAsia="仿宋_GB2312" w:cs="仿宋_GB2312"/>
          <w:i w:val="0"/>
          <w:iCs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平均增速且为正增长</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（2）</w:t>
      </w:r>
      <w:r>
        <w:rPr>
          <w:rFonts w:hint="eastAsia" w:ascii="仿宋_GB2312" w:hAnsi="仿宋_GB2312" w:cs="仿宋_GB2312"/>
          <w:bCs/>
          <w:color w:val="000000" w:themeColor="text1"/>
          <w:kern w:val="2"/>
          <w:sz w:val="32"/>
          <w:szCs w:val="32"/>
          <w:highlight w:val="none"/>
          <w:lang w:val="en-US" w:eastAsia="zh-CN" w:bidi="ar-SA"/>
          <w14:textFill>
            <w14:solidFill>
              <w14:schemeClr w14:val="tx1"/>
            </w14:solidFill>
          </w14:textFill>
        </w:rPr>
        <w:t>新落地</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零售企业年</w:t>
      </w:r>
      <w:r>
        <w:rPr>
          <w:rFonts w:hint="eastAsia" w:ascii="仿宋_GB2312" w:hAnsi="仿宋_GB2312" w:cs="仿宋_GB2312"/>
          <w:color w:val="000000" w:themeColor="text1"/>
          <w:kern w:val="2"/>
          <w:sz w:val="32"/>
          <w:szCs w:val="32"/>
          <w:highlight w:val="none"/>
          <w:lang w:val="en-US" w:eastAsia="zh-CN" w:bidi="ar-SA"/>
          <w14:textFill>
            <w14:solidFill>
              <w14:schemeClr w14:val="tx1"/>
            </w14:solidFill>
          </w14:textFill>
        </w:rPr>
        <w:t>度主营业务收入</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达到1亿元（含）以上，</w:t>
      </w:r>
      <w:r>
        <w:rPr>
          <w:rFonts w:hint="eastAsia" w:ascii="仿宋_GB2312" w:hAnsi="仿宋_GB2312" w:eastAsia="仿宋_GB2312" w:cs="仿宋_GB2312"/>
          <w:i w:val="0"/>
          <w:iCs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全年零</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售额</w:t>
      </w:r>
      <w:r>
        <w:rPr>
          <w:rFonts w:hint="eastAsia" w:ascii="仿宋_GB2312" w:hAnsi="仿宋_GB2312" w:eastAsia="仿宋_GB2312" w:cs="仿宋_GB2312"/>
          <w:i w:val="0"/>
          <w:iCs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增速高于全区</w:t>
      </w:r>
      <w:r>
        <w:rPr>
          <w:rFonts w:hint="eastAsia" w:ascii="仿宋_GB2312" w:hAnsi="仿宋_GB2312" w:cs="仿宋_GB2312"/>
          <w:i w:val="0"/>
          <w:iCs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零售总额</w:t>
      </w:r>
      <w:r>
        <w:rPr>
          <w:rFonts w:hint="eastAsia" w:ascii="仿宋_GB2312" w:hAnsi="仿宋_GB2312" w:eastAsia="仿宋_GB2312" w:cs="仿宋_GB2312"/>
          <w:i w:val="0"/>
          <w:iCs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平均增速且为正增长</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（3）帮助石景山区对口帮扶地区销售农特产品的</w:t>
      </w:r>
      <w:r>
        <w:rPr>
          <w:rFonts w:hint="eastAsia" w:ascii="仿宋_GB2312" w:hAnsi="仿宋_GB2312" w:cs="仿宋_GB2312"/>
          <w:bCs/>
          <w:color w:val="000000" w:themeColor="text1"/>
          <w:kern w:val="2"/>
          <w:sz w:val="32"/>
          <w:szCs w:val="32"/>
          <w:highlight w:val="none"/>
          <w:lang w:val="en-US" w:eastAsia="zh-CN" w:bidi="ar-SA"/>
          <w14:textFill>
            <w14:solidFill>
              <w14:schemeClr w14:val="tx1"/>
            </w14:solidFill>
          </w14:textFill>
        </w:rPr>
        <w:t>企业</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，申报当年</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累计销售农特产品应</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达到</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100万元</w:t>
      </w:r>
      <w:r>
        <w:rPr>
          <w:rFonts w:hint="eastAsia" w:ascii="仿宋_GB2312" w:hAnsi="仿宋_GB2312" w:cs="仿宋_GB2312"/>
          <w:color w:val="000000" w:themeColor="text1"/>
          <w:kern w:val="2"/>
          <w:sz w:val="32"/>
          <w:szCs w:val="32"/>
          <w:highlight w:val="none"/>
          <w:lang w:val="en-US" w:eastAsia="zh-CN" w:bidi="ar-SA"/>
          <w14:textFill>
            <w14:solidFill>
              <w14:schemeClr w14:val="tx1"/>
            </w14:solidFill>
          </w14:textFill>
        </w:rPr>
        <w:t>（含）以上</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autoSpaceDN/>
        <w:bidi w:val="0"/>
        <w:spacing w:line="560" w:lineRule="exact"/>
        <w:ind w:left="0" w:leftChars="0" w:right="0" w:rightChars="0" w:firstLine="643" w:firstLineChars="200"/>
        <w:textAlignment w:val="auto"/>
        <w:rPr>
          <w:rFonts w:hint="eastAsia" w:ascii="仿宋_GB2312" w:hAnsi="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color w:val="000000" w:themeColor="text1"/>
          <w:sz w:val="32"/>
          <w:szCs w:val="32"/>
          <w:highlight w:val="none"/>
          <w:lang w:val="en-US" w:eastAsia="zh-CN"/>
          <w14:textFill>
            <w14:solidFill>
              <w14:schemeClr w14:val="tx1"/>
            </w14:solidFill>
          </w14:textFill>
        </w:rPr>
        <w:t>2.支持标准</w:t>
      </w:r>
    </w:p>
    <w:p>
      <w:pPr>
        <w:pStyle w:val="13"/>
        <w:keepNext w:val="0"/>
        <w:keepLines w:val="0"/>
        <w:pageBreakBefore w:val="0"/>
        <w:kinsoku/>
        <w:wordWrap/>
        <w:overflowPunct/>
        <w:topLinePunct w:val="0"/>
        <w:autoSpaceDE/>
        <w:autoSpaceDN/>
        <w:bidi w:val="0"/>
        <w:spacing w:after="0" w:line="560" w:lineRule="exact"/>
        <w:ind w:leftChars="0"/>
        <w:textAlignment w:val="auto"/>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鼓励批发和零售企业落地，根据年</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度主营业务收入</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规模，给予最高100万元资金支持。</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①</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批发企业，按照批发额的万分之一给予资金支持。</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②</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零售企业，按照</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零售额</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的万分之二给予资金支持。</w:t>
      </w:r>
    </w:p>
    <w:p>
      <w:pPr>
        <w:keepNext w:val="0"/>
        <w:keepLines w:val="0"/>
        <w:pageBreakBefore w:val="0"/>
        <w:kinsoku/>
        <w:wordWrap/>
        <w:overflowPunct/>
        <w:topLinePunct w:val="0"/>
        <w:autoSpaceDE/>
        <w:autoSpaceDN/>
        <w:bidi w:val="0"/>
        <w:spacing w:line="560" w:lineRule="exact"/>
        <w:ind w:left="0" w:leftChars="0" w:right="0" w:rightChars="0" w:firstLine="640" w:firstLineChars="200"/>
        <w:textAlignment w:val="auto"/>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对帮助</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石景山区</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对口帮扶地区销售农特产品</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的企业</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w:t>
      </w: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按照销售额的</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2%，给予</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最高20万元资金支持</w:t>
      </w:r>
      <w:r>
        <w:rPr>
          <w:rFonts w:hint="eastAsia" w:eastAsia="仿宋_GB2312"/>
          <w:color w:val="000000" w:themeColor="text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outlineLvl w:val="1"/>
        <w:rPr>
          <w:rFonts w:hint="eastAsia" w:ascii="仿宋_GB2312" w:hAnsi="仿宋_GB2312" w:eastAsia="仿宋_GB2312" w:cs="仿宋_GB2312"/>
          <w:b/>
          <w:bCs/>
          <w:color w:val="000000" w:themeColor="text1"/>
          <w:sz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第三条  支持商业设施品质升级</w:t>
      </w:r>
    </w:p>
    <w:p>
      <w:pPr>
        <w:keepNext w:val="0"/>
        <w:keepLines w:val="0"/>
        <w:pageBreakBefore w:val="0"/>
        <w:widowControl w:val="0"/>
        <w:kinsoku/>
        <w:wordWrap/>
        <w:overflowPunct/>
        <w:topLinePunct w:val="0"/>
        <w:autoSpaceDE/>
        <w:autoSpaceDN/>
        <w:bidi w:val="0"/>
        <w:spacing w:before="0" w:beforeAutospacing="0" w:after="0" w:afterAutospacing="0" w:line="560" w:lineRule="exact"/>
        <w:ind w:left="0" w:leftChars="0" w:right="0" w:rightChars="0" w:firstLine="643" w:firstLineChars="200"/>
        <w:jc w:val="left"/>
        <w:textAlignment w:val="auto"/>
        <w:outlineLvl w:val="2"/>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t>1.申报条件</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（1）支持商业设施改造升级。①营业面积。申报项目的主体为购物中心、百货、专业专卖店等，营业面积5000平方米（含）以上。②实际投资额。购物中心、百货实际投资额（含外立面改造、</w:t>
      </w:r>
      <w:r>
        <w:rPr>
          <w:rFonts w:hint="eastAsia" w:ascii="仿宋_GB2312" w:hAnsi="仿宋_GB2312" w:cs="仿宋_GB2312"/>
          <w:b w:val="0"/>
          <w:bCs w:val="0"/>
          <w:color w:val="000000" w:themeColor="text1"/>
          <w:kern w:val="0"/>
          <w:sz w:val="32"/>
          <w:szCs w:val="32"/>
          <w:highlight w:val="none"/>
          <w:lang w:val="en-US" w:eastAsia="zh-CN" w:bidi="ar"/>
          <w14:textFill>
            <w14:solidFill>
              <w14:schemeClr w14:val="tx1"/>
            </w14:solidFill>
          </w14:textFill>
        </w:rPr>
        <w:t>店内</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装修、配套设施购置</w:t>
      </w:r>
      <w:r>
        <w:rPr>
          <w:rFonts w:hint="eastAsia" w:ascii="仿宋_GB2312" w:hAnsi="仿宋_GB2312" w:cs="仿宋_GB2312"/>
          <w:b w:val="0"/>
          <w:bCs w:val="0"/>
          <w:color w:val="000000" w:themeColor="text1"/>
          <w:kern w:val="0"/>
          <w:sz w:val="32"/>
          <w:szCs w:val="32"/>
          <w:highlight w:val="none"/>
          <w:lang w:val="en-US" w:eastAsia="zh-CN" w:bidi="ar"/>
          <w14:textFill>
            <w14:solidFill>
              <w14:schemeClr w14:val="tx1"/>
            </w14:solidFill>
          </w14:textFill>
        </w:rPr>
        <w:t>及水电气热等配套设施改造升级</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等）在500万元（含）以上，专业</w:t>
      </w:r>
      <w:r>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t>专卖店</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实际投资额（含外立面改造、</w:t>
      </w:r>
      <w:r>
        <w:rPr>
          <w:rFonts w:hint="eastAsia" w:ascii="仿宋_GB2312" w:hAnsi="仿宋_GB2312" w:cs="仿宋_GB2312"/>
          <w:b w:val="0"/>
          <w:bCs w:val="0"/>
          <w:color w:val="000000" w:themeColor="text1"/>
          <w:kern w:val="0"/>
          <w:sz w:val="32"/>
          <w:szCs w:val="32"/>
          <w:highlight w:val="none"/>
          <w:lang w:val="en-US" w:eastAsia="zh-CN" w:bidi="ar"/>
          <w14:textFill>
            <w14:solidFill>
              <w14:schemeClr w14:val="tx1"/>
            </w14:solidFill>
          </w14:textFill>
        </w:rPr>
        <w:t>店内</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装修、配套设施购置</w:t>
      </w:r>
      <w:r>
        <w:rPr>
          <w:rFonts w:hint="eastAsia" w:ascii="仿宋_GB2312" w:hAnsi="仿宋_GB2312" w:cs="仿宋_GB2312"/>
          <w:b w:val="0"/>
          <w:bCs w:val="0"/>
          <w:color w:val="000000" w:themeColor="text1"/>
          <w:kern w:val="0"/>
          <w:sz w:val="32"/>
          <w:szCs w:val="32"/>
          <w:highlight w:val="none"/>
          <w:lang w:val="en-US" w:eastAsia="zh-CN" w:bidi="ar"/>
          <w14:textFill>
            <w14:solidFill>
              <w14:schemeClr w14:val="tx1"/>
            </w14:solidFill>
          </w14:textFill>
        </w:rPr>
        <w:t>及水电气热等配套设施改造升级</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等）</w:t>
      </w:r>
      <w:r>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t>在300万元（含）以上。</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③改造成效。</w:t>
      </w:r>
      <w:r>
        <w:rPr>
          <w:rFonts w:hint="eastAsia" w:ascii="仿宋_GB2312" w:hAnsi="仿宋_GB2312" w:eastAsia="仿宋_GB2312" w:cs="仿宋_GB2312"/>
          <w:b w:val="0"/>
          <w:bCs w:val="0"/>
          <w:i w:val="0"/>
          <w:iCs w:val="0"/>
          <w:caps w:val="0"/>
          <w:color w:val="000000" w:themeColor="text1"/>
          <w:spacing w:val="0"/>
          <w:kern w:val="0"/>
          <w:sz w:val="32"/>
          <w:szCs w:val="32"/>
          <w:highlight w:val="none"/>
          <w:u w:val="none"/>
          <w:lang w:val="en-US" w:eastAsia="zh-CN" w:bidi="ar"/>
          <w14:textFill>
            <w14:solidFill>
              <w14:schemeClr w14:val="tx1"/>
            </w14:solidFill>
          </w14:textFill>
        </w:rPr>
        <w:t>项目已竣工验收或开业运营，持续经营</w:t>
      </w:r>
      <w:r>
        <w:rPr>
          <w:rFonts w:hint="eastAsia" w:ascii="仿宋_GB2312" w:hAnsi="仿宋_GB2312" w:cs="仿宋_GB2312"/>
          <w:b w:val="0"/>
          <w:bCs w:val="0"/>
          <w:i w:val="0"/>
          <w:iCs w:val="0"/>
          <w:caps w:val="0"/>
          <w:color w:val="000000" w:themeColor="text1"/>
          <w:spacing w:val="0"/>
          <w:kern w:val="0"/>
          <w:sz w:val="32"/>
          <w:szCs w:val="32"/>
          <w:highlight w:val="none"/>
          <w:u w:val="none"/>
          <w:lang w:val="en-US" w:eastAsia="zh-CN" w:bidi="ar"/>
          <w14:textFill>
            <w14:solidFill>
              <w14:schemeClr w14:val="tx1"/>
            </w14:solidFill>
          </w14:textFill>
        </w:rPr>
        <w:t>满</w:t>
      </w:r>
      <w:r>
        <w:rPr>
          <w:rFonts w:hint="eastAsia" w:ascii="仿宋_GB2312" w:hAnsi="仿宋_GB2312" w:eastAsia="仿宋_GB2312" w:cs="仿宋_GB2312"/>
          <w:b w:val="0"/>
          <w:bCs w:val="0"/>
          <w:i w:val="0"/>
          <w:iCs w:val="0"/>
          <w:caps w:val="0"/>
          <w:color w:val="000000" w:themeColor="text1"/>
          <w:spacing w:val="0"/>
          <w:kern w:val="0"/>
          <w:sz w:val="32"/>
          <w:szCs w:val="32"/>
          <w:highlight w:val="none"/>
          <w:u w:val="none"/>
          <w:lang w:val="en-US" w:eastAsia="zh-CN" w:bidi="ar"/>
          <w14:textFill>
            <w14:solidFill>
              <w14:schemeClr w14:val="tx1"/>
            </w14:solidFill>
          </w14:textFill>
        </w:rPr>
        <w:t>3个月，客流量和销售额高于升级改造前。</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④申报方式。</w:t>
      </w:r>
      <w:r>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t>由</w:t>
      </w:r>
      <w:r>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FFFFFF"/>
          <w:lang w:val="en-US" w:eastAsia="zh-CN" w:bidi="ar"/>
          <w14:textFill>
            <w14:solidFill>
              <w14:schemeClr w14:val="tx1"/>
            </w14:solidFill>
          </w14:textFill>
        </w:rPr>
        <w:t>集团统一建设运营管理的系统平台供多家门店使用时，由企业集团申报，门店不得重复申报。</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left"/>
        <w:textAlignment w:val="auto"/>
        <w:rPr>
          <w:rFonts w:hint="default"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（2）在依法依规的前提下，在公园、等级景区、公共体育场馆、演出场所内开设餐厅的</w:t>
      </w:r>
      <w:r>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t>餐饮企业需</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与上述场所签订不少于3年的租赁合同，</w:t>
      </w:r>
      <w:r>
        <w:rPr>
          <w:rFonts w:hint="eastAsia" w:ascii="仿宋_GB2312" w:hAnsi="仿宋_GB2312" w:cs="仿宋_GB2312"/>
          <w:b w:val="0"/>
          <w:bCs w:val="0"/>
          <w:color w:val="000000" w:themeColor="text1"/>
          <w:kern w:val="0"/>
          <w:sz w:val="32"/>
          <w:szCs w:val="32"/>
          <w:highlight w:val="none"/>
          <w:lang w:val="en-US" w:eastAsia="zh-CN" w:bidi="ar"/>
          <w14:textFill>
            <w14:solidFill>
              <w14:schemeClr w14:val="tx1"/>
            </w14:solidFill>
          </w14:textFill>
        </w:rPr>
        <w:t>实</w:t>
      </w:r>
      <w:r>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t>际投资额（含</w:t>
      </w:r>
      <w:r>
        <w:rPr>
          <w:rFonts w:hint="eastAsia" w:ascii="仿宋_GB2312" w:hAnsi="仿宋_GB2312" w:eastAsia="仿宋_GB2312" w:cs="仿宋_GB2312"/>
          <w:b w:val="0"/>
          <w:bCs w:val="0"/>
          <w:color w:val="000000" w:themeColor="text1"/>
          <w:kern w:val="0"/>
          <w:sz w:val="32"/>
          <w:szCs w:val="32"/>
          <w:highlight w:val="none"/>
          <w:shd w:val="clear" w:color="auto" w:fill="auto"/>
          <w:lang w:val="en-US" w:eastAsia="zh-CN" w:bidi="ar"/>
          <w14:textFill>
            <w14:solidFill>
              <w14:schemeClr w14:val="tx1"/>
            </w14:solidFill>
          </w14:textFill>
        </w:rPr>
        <w:t>餐厅装修、配套设施设备购置等</w:t>
      </w:r>
      <w:r>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t>）超过30万元，</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持续经营满</w:t>
      </w:r>
      <w:r>
        <w:rPr>
          <w:rFonts w:hint="eastAsia" w:ascii="仿宋_GB2312" w:hAnsi="仿宋_GB2312" w:cs="仿宋_GB2312"/>
          <w:b w:val="0"/>
          <w:bCs w:val="0"/>
          <w:color w:val="000000" w:themeColor="text1"/>
          <w:kern w:val="0"/>
          <w:sz w:val="32"/>
          <w:szCs w:val="32"/>
          <w:highlight w:val="none"/>
          <w:lang w:val="en-US" w:eastAsia="zh-CN" w:bidi="ar"/>
          <w14:textFill>
            <w14:solidFill>
              <w14:schemeClr w14:val="tx1"/>
            </w14:solidFill>
          </w14:textFill>
        </w:rPr>
        <w:t>12个月</w:t>
      </w:r>
      <w:r>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spacing w:before="0" w:beforeAutospacing="0" w:after="0" w:afterAutospacing="0" w:line="560" w:lineRule="exact"/>
        <w:ind w:left="0" w:leftChars="0" w:right="0" w:rightChars="0" w:firstLine="643" w:firstLineChars="200"/>
        <w:jc w:val="left"/>
        <w:textAlignment w:val="auto"/>
        <w:outlineLvl w:val="2"/>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t>2.支持标准</w:t>
      </w:r>
    </w:p>
    <w:p>
      <w:pPr>
        <w:keepNext w:val="0"/>
        <w:keepLines w:val="0"/>
        <w:pageBreakBefore w:val="0"/>
        <w:widowControl w:val="0"/>
        <w:kinsoku/>
        <w:wordWrap/>
        <w:overflowPunct/>
        <w:topLinePunct w:val="0"/>
        <w:autoSpaceDE/>
        <w:autoSpaceDN/>
        <w:bidi w:val="0"/>
        <w:spacing w:before="0" w:beforeAutospacing="0" w:after="0" w:afterAutospacing="0" w:line="560" w:lineRule="exact"/>
        <w:ind w:left="0" w:leftChars="0" w:right="0" w:rightChars="0" w:firstLine="640" w:firstLineChars="200"/>
        <w:jc w:val="both"/>
        <w:textAlignment w:val="auto"/>
        <w:rPr>
          <w:rFonts w:hint="default"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（1）支持符合条件的购物中心、百货、专业专卖店等商业设施改造升级，按照实际投资额单个项目给予最高200万元资金支持。同一项目获得市级资金支持的，不再给予区级资金</w:t>
      </w:r>
      <w:r>
        <w:rPr>
          <w:rFonts w:hint="eastAsia" w:ascii="仿宋_GB2312" w:hAnsi="仿宋_GB2312" w:cs="仿宋_GB2312"/>
          <w:b w:val="0"/>
          <w:bCs w:val="0"/>
          <w:color w:val="000000" w:themeColor="text1"/>
          <w:kern w:val="0"/>
          <w:sz w:val="32"/>
          <w:szCs w:val="32"/>
          <w:highlight w:val="none"/>
          <w:lang w:val="en-US" w:eastAsia="zh-CN" w:bidi="ar"/>
          <w14:textFill>
            <w14:solidFill>
              <w14:schemeClr w14:val="tx1"/>
            </w14:solidFill>
          </w14:textFill>
        </w:rPr>
        <w:t>支持</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。①购物中心、百货按照审定实际投资额的5%，给予最高200万元资金支持。②专业专卖店按照审定实际投资额的3%，给予最高100万元资金支持。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仿宋_GB2312" w:hAnsi="仿宋_GB2312" w:cs="仿宋_GB2312"/>
          <w:b w:val="0"/>
          <w:bCs w:val="0"/>
          <w:i w:val="0"/>
          <w:iCs w:val="0"/>
          <w:caps w:val="0"/>
          <w:color w:val="000000" w:themeColor="text1"/>
          <w:spacing w:val="0"/>
          <w:sz w:val="32"/>
          <w:szCs w:val="32"/>
          <w:highlight w:val="none"/>
          <w:shd w:val="clear" w:color="auto" w:fill="auto"/>
          <w:lang w:val="en-US" w:eastAsia="zh-CN"/>
          <w14:textFill>
            <w14:solidFill>
              <w14:schemeClr w14:val="tx1"/>
            </w14:solidFill>
          </w14:textFill>
        </w:rPr>
      </w:pP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在依法依规的前提下，鼓励在公园、等级景区、公共体育场馆、演出场所内开设满足大众消费的餐厅，给予最高10万元资金支持。</w:t>
      </w: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①</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审定实际投资额30万元（含）-50万元的，按</w:t>
      </w:r>
      <w:r>
        <w:rPr>
          <w:rFonts w:hint="default" w:ascii="仿宋_GB2312" w:hAnsi="仿宋_GB2312" w:cs="仿宋_GB2312"/>
          <w:b w:val="0"/>
          <w:bCs w:val="0"/>
          <w:color w:val="000000" w:themeColor="text1"/>
          <w:sz w:val="32"/>
          <w:szCs w:val="32"/>
          <w:highlight w:val="none"/>
          <w:lang w:val="en-US" w:eastAsia="zh-CN"/>
          <w14:textFill>
            <w14:solidFill>
              <w14:schemeClr w14:val="tx1"/>
            </w14:solidFill>
          </w14:textFill>
        </w:rPr>
        <w:t>10</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%给予资金支持。</w:t>
      </w: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②</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审定实际投资额50万元（含）以上的，按20%给予资金支持。</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3" w:firstLineChars="200"/>
        <w:jc w:val="left"/>
        <w:textAlignment w:val="auto"/>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t>第四条  支持特色消费品牌打造</w:t>
      </w:r>
    </w:p>
    <w:p>
      <w:pPr>
        <w:keepNext w:val="0"/>
        <w:keepLines w:val="0"/>
        <w:pageBreakBefore w:val="0"/>
        <w:widowControl w:val="0"/>
        <w:kinsoku/>
        <w:wordWrap/>
        <w:overflowPunct/>
        <w:topLinePunct w:val="0"/>
        <w:autoSpaceDE/>
        <w:autoSpaceDN/>
        <w:bidi w:val="0"/>
        <w:spacing w:before="0" w:beforeAutospacing="0" w:after="0" w:afterAutospacing="0" w:line="560" w:lineRule="exact"/>
        <w:ind w:left="0" w:leftChars="0" w:right="0" w:rightChars="0" w:firstLine="643" w:firstLineChars="200"/>
        <w:jc w:val="left"/>
        <w:textAlignment w:val="auto"/>
        <w:outlineLvl w:val="2"/>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t>1.申报条件</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（1）</w:t>
      </w:r>
      <w:r>
        <w:rPr>
          <w:rFonts w:hint="eastAsia" w:ascii="仿宋_GB2312" w:hAnsi="仿宋_GB2312" w:cs="仿宋_GB2312"/>
          <w:color w:val="000000" w:themeColor="text1"/>
          <w:kern w:val="0"/>
          <w:sz w:val="32"/>
          <w:szCs w:val="32"/>
          <w:highlight w:val="none"/>
          <w:lang w:val="en-US" w:eastAsia="zh-CN" w:bidi="ar"/>
          <w14:textFill>
            <w14:solidFill>
              <w14:schemeClr w14:val="tx1"/>
            </w14:solidFill>
          </w14:textFill>
        </w:rPr>
        <w:t>经市级部门</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认定或挂牌</w:t>
      </w:r>
      <w:r>
        <w:rPr>
          <w:rFonts w:hint="eastAsia" w:ascii="仿宋_GB2312" w:hAnsi="仿宋_GB2312" w:cs="仿宋_GB2312"/>
          <w:color w:val="000000" w:themeColor="text1"/>
          <w:kern w:val="0"/>
          <w:sz w:val="32"/>
          <w:szCs w:val="32"/>
          <w:highlight w:val="none"/>
          <w:lang w:val="en-US" w:eastAsia="zh-CN" w:bidi="ar"/>
          <w14:textFill>
            <w14:solidFill>
              <w14:schemeClr w14:val="tx1"/>
            </w14:solidFill>
          </w14:textFill>
        </w:rPr>
        <w:t>的</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“夜京城”特色消费地标、打卡地</w:t>
      </w:r>
      <w:r>
        <w:rPr>
          <w:rFonts w:hint="eastAsia" w:ascii="仿宋_GB2312" w:hAnsi="仿宋_GB2312" w:cs="仿宋_GB2312"/>
          <w:color w:val="000000" w:themeColor="text1"/>
          <w:kern w:val="0"/>
          <w:sz w:val="32"/>
          <w:szCs w:val="32"/>
          <w:highlight w:val="none"/>
          <w:lang w:val="en-US" w:eastAsia="zh-CN" w:bidi="ar"/>
          <w14:textFill>
            <w14:solidFill>
              <w14:schemeClr w14:val="tx1"/>
            </w14:solidFill>
          </w14:textFill>
        </w:rPr>
        <w:t>和生活圈</w:t>
      </w:r>
      <w:r>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themeColor="text1"/>
          <w:spacing w:val="0"/>
          <w:kern w:val="0"/>
          <w:sz w:val="32"/>
          <w:szCs w:val="32"/>
          <w:highlight w:val="none"/>
          <w:shd w:val="clear" w:color="auto" w:fill="auto"/>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32"/>
          <w:szCs w:val="32"/>
          <w:highlight w:val="none"/>
          <w:lang w:val="en-US" w:eastAsia="zh-CN" w:bidi="ar"/>
          <w14:textFill>
            <w14:solidFill>
              <w14:schemeClr w14:val="tx1"/>
            </w14:solidFill>
          </w14:textFill>
        </w:rPr>
        <w:t>（2）</w:t>
      </w:r>
      <w:r>
        <w:rPr>
          <w:rFonts w:hint="eastAsia" w:ascii="仿宋_GB2312" w:hAnsi="仿宋_GB2312" w:cs="仿宋_GB2312"/>
          <w:bCs/>
          <w:color w:val="000000" w:themeColor="text1"/>
          <w:kern w:val="0"/>
          <w:sz w:val="32"/>
          <w:szCs w:val="32"/>
          <w:highlight w:val="none"/>
          <w:lang w:val="en-US" w:eastAsia="zh-CN" w:bidi="ar"/>
          <w14:textFill>
            <w14:solidFill>
              <w14:schemeClr w14:val="tx1"/>
            </w14:solidFill>
          </w14:textFill>
        </w:rPr>
        <w:t>入选</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如米其林、黑珍珠等或同等级国内外知名榜单。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2"/>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2.支持标准</w:t>
      </w:r>
    </w:p>
    <w:p>
      <w:pPr>
        <w:keepNext w:val="0"/>
        <w:keepLines w:val="0"/>
        <w:pageBreakBefore w:val="0"/>
        <w:widowControl w:val="0"/>
        <w:kinsoku/>
        <w:wordWrap/>
        <w:overflowPunct/>
        <w:topLinePunct w:val="0"/>
        <w:autoSpaceDE/>
        <w:autoSpaceDN/>
        <w:bidi w:val="0"/>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（1）对新获得北京市“夜京城”特色消费地标、打卡地、生活圈等评选认定的企业，给予最高20万元资金支持，单个项目只能享受一项</w:t>
      </w:r>
      <w:r>
        <w:rPr>
          <w:rFonts w:hint="eastAsia" w:ascii="仿宋_GB2312" w:hAnsi="仿宋_GB2312" w:cs="仿宋_GB2312"/>
          <w:b w:val="0"/>
          <w:bCs w:val="0"/>
          <w:color w:val="000000" w:themeColor="text1"/>
          <w:kern w:val="0"/>
          <w:sz w:val="32"/>
          <w:szCs w:val="32"/>
          <w:highlight w:val="none"/>
          <w:lang w:val="en-US" w:eastAsia="zh-CN" w:bidi="ar"/>
          <w14:textFill>
            <w14:solidFill>
              <w14:schemeClr w14:val="tx1"/>
            </w14:solidFill>
          </w14:textFill>
        </w:rPr>
        <w:t>资金</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支持。①获得北京市</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“夜京城”</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特色消费地标认定或挂牌，给予20万元资金支持；②获得北京市</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“夜京城”</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打卡地认定或挂牌，给予10万元资金支持；③获得北京市</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“夜京城”</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生活圈认定或挂牌，给予5万元资金支持。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（2）对入选国内外知名榜单的餐饮企业，给予10万元资金支持。</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3" w:firstLineChars="200"/>
        <w:jc w:val="left"/>
        <w:textAlignment w:val="auto"/>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t>第五条  支持特色商业活动举办</w:t>
      </w:r>
    </w:p>
    <w:p>
      <w:pPr>
        <w:keepNext w:val="0"/>
        <w:keepLines w:val="0"/>
        <w:pageBreakBefore w:val="0"/>
        <w:kinsoku/>
        <w:wordWrap/>
        <w:overflowPunct/>
        <w:topLinePunct w:val="0"/>
        <w:autoSpaceDE/>
        <w:autoSpaceDN/>
        <w:bidi w:val="0"/>
        <w:spacing w:line="560" w:lineRule="exact"/>
        <w:ind w:left="0" w:leftChars="0" w:right="0" w:rightChars="0" w:firstLine="643" w:firstLineChars="200"/>
        <w:textAlignment w:val="auto"/>
        <w:outlineLvl w:val="2"/>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t>1.</w:t>
      </w:r>
      <w:r>
        <w:rPr>
          <w:rFonts w:hint="eastAsia" w:ascii="仿宋_GB2312" w:hAnsi="仿宋_GB2312" w:cs="仿宋_GB2312"/>
          <w:b/>
          <w:bCs w:val="0"/>
          <w:color w:val="000000" w:themeColor="text1"/>
          <w:sz w:val="32"/>
          <w:szCs w:val="32"/>
          <w:highlight w:val="none"/>
          <w:lang w:val="en-US" w:eastAsia="zh-CN"/>
          <w14:textFill>
            <w14:solidFill>
              <w14:schemeClr w14:val="tx1"/>
            </w14:solidFill>
          </w14:textFill>
        </w:rPr>
        <w:t>品质消费活动支持</w:t>
      </w:r>
    </w:p>
    <w:p>
      <w:pPr>
        <w:keepNext w:val="0"/>
        <w:keepLines w:val="0"/>
        <w:pageBreakBefore w:val="0"/>
        <w:widowControl/>
        <w:kinsoku/>
        <w:wordWrap/>
        <w:overflowPunct/>
        <w:topLinePunct w:val="0"/>
        <w:autoSpaceDE/>
        <w:autoSpaceDN/>
        <w:bidi w:val="0"/>
        <w:adjustRightInd/>
        <w:snapToGrid/>
        <w:spacing w:line="560" w:lineRule="exact"/>
        <w:ind w:leftChars="0" w:firstLine="643" w:firstLineChars="200"/>
        <w:jc w:val="left"/>
        <w:textAlignment w:val="auto"/>
        <w:outlineLvl w:val="9"/>
        <w:rPr>
          <w:rFonts w:hint="eastAsia" w:ascii="仿宋_GB2312" w:hAnsi="仿宋_GB2312" w:cs="仿宋_GB2312"/>
          <w:b/>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t>（1）</w:t>
      </w:r>
      <w:r>
        <w:rPr>
          <w:rFonts w:hint="eastAsia" w:ascii="仿宋_GB2312" w:hAnsi="仿宋_GB2312" w:cs="仿宋_GB2312"/>
          <w:b/>
          <w:bCs w:val="0"/>
          <w:color w:val="000000" w:themeColor="text1"/>
          <w:sz w:val="32"/>
          <w:szCs w:val="32"/>
          <w:highlight w:val="none"/>
          <w:lang w:val="en-US" w:eastAsia="zh-CN"/>
          <w14:textFill>
            <w14:solidFill>
              <w14:schemeClr w14:val="tx1"/>
            </w14:solidFill>
          </w14:textFill>
        </w:rPr>
        <w:t>申报条件</w:t>
      </w:r>
    </w:p>
    <w:p>
      <w:pPr>
        <w:keepNext w:val="0"/>
        <w:keepLines w:val="0"/>
        <w:pageBreakBefore w:val="0"/>
        <w:widowControl/>
        <w:kinsoku/>
        <w:wordWrap/>
        <w:overflowPunct/>
        <w:topLinePunct w:val="0"/>
        <w:autoSpaceDE/>
        <w:autoSpaceDN/>
        <w:bidi w:val="0"/>
        <w:adjustRightInd/>
        <w:snapToGrid/>
        <w:spacing w:line="560" w:lineRule="exact"/>
        <w:ind w:leftChars="0" w:firstLine="640" w:firstLineChars="200"/>
        <w:jc w:val="left"/>
        <w:textAlignment w:val="auto"/>
        <w:outlineLvl w:val="9"/>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pPr>
      <w:r>
        <w:rPr>
          <w:rFonts w:hint="eastAsia" w:ascii="仿宋_GB2312" w:hAnsi="仿宋_GB2312" w:cs="仿宋_GB2312"/>
          <w:b w:val="0"/>
          <w:bCs/>
          <w:color w:val="000000" w:themeColor="text1"/>
          <w:sz w:val="32"/>
          <w:szCs w:val="32"/>
          <w:highlight w:val="none"/>
          <w:lang w:val="en-US" w:eastAsia="zh-CN"/>
          <w14:textFill>
            <w14:solidFill>
              <w14:schemeClr w14:val="tx1"/>
            </w14:solidFill>
          </w14:textFill>
        </w:rPr>
        <w:t>首发首秀活动、</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国际化消费活动</w:t>
      </w:r>
      <w:r>
        <w:rPr>
          <w:rFonts w:hint="eastAsia" w:ascii="仿宋_GB2312" w:hAnsi="仿宋_GB2312" w:cs="仿宋_GB2312"/>
          <w:b w:val="0"/>
          <w:bCs/>
          <w:color w:val="000000" w:themeColor="text1"/>
          <w:sz w:val="32"/>
          <w:szCs w:val="32"/>
          <w:highlight w:val="none"/>
          <w:lang w:val="en-US" w:eastAsia="zh-CN"/>
          <w14:textFill>
            <w14:solidFill>
              <w14:schemeClr w14:val="tx1"/>
            </w14:solidFill>
          </w14:textFill>
        </w:rPr>
        <w:t>及</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特色主题活动策划、宣传、场租和搭建等总</w:t>
      </w:r>
      <w:r>
        <w:rPr>
          <w:rFonts w:hint="eastAsia" w:ascii="仿宋_GB2312" w:hAnsi="仿宋_GB2312" w:cs="仿宋_GB2312"/>
          <w:b w:val="0"/>
          <w:bCs/>
          <w:color w:val="000000" w:themeColor="text1"/>
          <w:sz w:val="32"/>
          <w:szCs w:val="32"/>
          <w:highlight w:val="none"/>
          <w:lang w:val="en-US" w:eastAsia="zh-CN"/>
          <w14:textFill>
            <w14:solidFill>
              <w14:schemeClr w14:val="tx1"/>
            </w14:solidFill>
          </w14:textFill>
        </w:rPr>
        <w:t>投资超过</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100万元</w:t>
      </w: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spacing w:line="560" w:lineRule="exact"/>
        <w:ind w:leftChars="0" w:right="0" w:rightChars="0" w:firstLine="640" w:firstLineChars="200"/>
        <w:textAlignment w:val="auto"/>
        <w:rPr>
          <w:rFonts w:hint="eastAsia" w:ascii="仿宋_GB2312" w:hAnsi="仿宋_GB2312" w:cs="仿宋_GB2312"/>
          <w:b w:val="0"/>
          <w:bCs/>
          <w:color w:val="000000" w:themeColor="text1"/>
          <w:highlight w:val="none"/>
          <w:lang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highlight w:val="none"/>
          <w:lang w:eastAsia="zh-CN"/>
          <w14:textFill>
            <w14:solidFill>
              <w14:schemeClr w14:val="tx1"/>
            </w14:solidFill>
          </w14:textFill>
        </w:rPr>
        <w:t>①</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主办或承办</w:t>
      </w:r>
      <w:r>
        <w:rPr>
          <w:rFonts w:hint="eastAsia" w:ascii="仿宋_GB2312" w:hAnsi="仿宋_GB2312" w:eastAsia="仿宋_GB2312" w:cs="仿宋_GB2312"/>
          <w:b w:val="0"/>
          <w:bCs/>
          <w:color w:val="000000" w:themeColor="text1"/>
          <w:sz w:val="32"/>
          <w:szCs w:val="32"/>
          <w:highlight w:val="none"/>
          <w:lang w:eastAsia="zh-CN"/>
          <w14:textFill>
            <w14:solidFill>
              <w14:schemeClr w14:val="tx1"/>
            </w14:solidFill>
          </w14:textFill>
        </w:rPr>
        <w:t>由市、区政府主导开展的</w:t>
      </w:r>
      <w:r>
        <w:rPr>
          <w:rFonts w:hint="eastAsia" w:ascii="仿宋_GB2312" w:hAnsi="仿宋_GB2312" w:cs="仿宋_GB2312"/>
          <w:b w:val="0"/>
          <w:bCs/>
          <w:color w:val="000000" w:themeColor="text1"/>
          <w:sz w:val="32"/>
          <w:szCs w:val="32"/>
          <w:highlight w:val="none"/>
          <w:lang w:eastAsia="zh-CN"/>
          <w14:textFill>
            <w14:solidFill>
              <w14:schemeClr w14:val="tx1"/>
            </w14:solidFill>
          </w14:textFill>
        </w:rPr>
        <w:t>大型商业</w:t>
      </w:r>
      <w:r>
        <w:rPr>
          <w:rFonts w:hint="eastAsia" w:ascii="仿宋_GB2312" w:hAnsi="仿宋_GB2312" w:eastAsia="仿宋_GB2312" w:cs="仿宋_GB2312"/>
          <w:b w:val="0"/>
          <w:bCs/>
          <w:color w:val="000000" w:themeColor="text1"/>
          <w:sz w:val="32"/>
          <w:szCs w:val="32"/>
          <w:highlight w:val="none"/>
          <w:lang w:eastAsia="zh-CN"/>
          <w14:textFill>
            <w14:solidFill>
              <w14:schemeClr w14:val="tx1"/>
            </w14:solidFill>
          </w14:textFill>
        </w:rPr>
        <w:t>活动</w:t>
      </w:r>
      <w:r>
        <w:rPr>
          <w:rFonts w:hint="eastAsia" w:ascii="仿宋_GB2312" w:hAnsi="仿宋_GB2312" w:cs="仿宋_GB2312"/>
          <w:b w:val="0"/>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highlight w:val="none"/>
          <w:lang w:eastAsia="zh-CN"/>
          <w14:textFill>
            <w14:solidFill>
              <w14:schemeClr w14:val="tx1"/>
            </w14:solidFill>
          </w14:textFill>
        </w:rPr>
        <w:t>策划、宣传、</w:t>
      </w: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场租</w:t>
      </w:r>
      <w:r>
        <w:rPr>
          <w:rFonts w:hint="eastAsia" w:ascii="仿宋_GB2312" w:hAnsi="仿宋_GB2312" w:eastAsia="仿宋_GB2312" w:cs="仿宋_GB2312"/>
          <w:b w:val="0"/>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搭建等总</w:t>
      </w:r>
      <w:r>
        <w:rPr>
          <w:rFonts w:hint="eastAsia" w:ascii="仿宋_GB2312" w:hAnsi="仿宋_GB2312" w:cs="仿宋_GB2312"/>
          <w:b w:val="0"/>
          <w:bCs/>
          <w:color w:val="000000" w:themeColor="text1"/>
          <w:sz w:val="32"/>
          <w:szCs w:val="32"/>
          <w:highlight w:val="none"/>
          <w:lang w:eastAsia="zh-CN"/>
          <w14:textFill>
            <w14:solidFill>
              <w14:schemeClr w14:val="tx1"/>
            </w14:solidFill>
          </w14:textFill>
        </w:rPr>
        <w:t>投资</w:t>
      </w:r>
      <w:r>
        <w:rPr>
          <w:rFonts w:hint="eastAsia" w:ascii="仿宋_GB2312" w:hAnsi="仿宋_GB2312" w:cs="仿宋_GB2312"/>
          <w:b w:val="0"/>
          <w:bCs/>
          <w:color w:val="000000" w:themeColor="text1"/>
          <w:sz w:val="32"/>
          <w:szCs w:val="32"/>
          <w:highlight w:val="none"/>
          <w:lang w:val="en-US" w:eastAsia="zh-CN"/>
          <w14:textFill>
            <w14:solidFill>
              <w14:schemeClr w14:val="tx1"/>
            </w14:solidFill>
          </w14:textFill>
        </w:rPr>
        <w:t>超过10</w:t>
      </w: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0万元。</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②自主策划举办</w:t>
      </w:r>
      <w:r>
        <w:rPr>
          <w:rFonts w:hint="eastAsia" w:ascii="仿宋_GB2312" w:hAnsi="仿宋_GB2312" w:cs="仿宋_GB2312"/>
          <w:b w:val="0"/>
          <w:bCs/>
          <w:color w:val="000000" w:themeColor="text1"/>
          <w:sz w:val="32"/>
          <w:szCs w:val="32"/>
          <w:highlight w:val="none"/>
          <w:lang w:val="en-US" w:eastAsia="zh-CN"/>
          <w14:textFill>
            <w14:solidFill>
              <w14:schemeClr w14:val="tx1"/>
            </w14:solidFill>
          </w14:textFill>
        </w:rPr>
        <w:t>的</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促消费活动</w:t>
      </w:r>
      <w:r>
        <w:rPr>
          <w:rFonts w:hint="eastAsia" w:ascii="仿宋_GB2312" w:hAnsi="仿宋_GB2312" w:cs="仿宋_GB2312"/>
          <w:b w:val="0"/>
          <w:bCs/>
          <w:color w:val="000000" w:themeColor="text1"/>
          <w:sz w:val="32"/>
          <w:szCs w:val="32"/>
          <w:highlight w:val="none"/>
          <w:lang w:val="en-US" w:eastAsia="zh-CN"/>
          <w14:textFill>
            <w14:solidFill>
              <w14:schemeClr w14:val="tx1"/>
            </w14:solidFill>
          </w14:textFill>
        </w:rPr>
        <w:t>，需结合京西消费节相关安排，</w:t>
      </w:r>
      <w:r>
        <w:rPr>
          <w:rFonts w:hint="eastAsia" w:ascii="仿宋_GB2312" w:hAnsi="仿宋_GB2312" w:eastAsia="仿宋_GB2312" w:cs="仿宋_GB2312"/>
          <w:b w:val="0"/>
          <w:bCs/>
          <w:color w:val="000000" w:themeColor="text1"/>
          <w:sz w:val="32"/>
          <w:szCs w:val="32"/>
          <w:highlight w:val="none"/>
          <w:lang w:eastAsia="zh-CN"/>
          <w14:textFill>
            <w14:solidFill>
              <w14:schemeClr w14:val="tx1"/>
            </w14:solidFill>
          </w14:textFill>
        </w:rPr>
        <w:t>策划、宣传、</w:t>
      </w: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场租</w:t>
      </w:r>
      <w:r>
        <w:rPr>
          <w:rFonts w:hint="eastAsia" w:ascii="仿宋_GB2312" w:hAnsi="仿宋_GB2312" w:eastAsia="仿宋_GB2312" w:cs="仿宋_GB2312"/>
          <w:b w:val="0"/>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搭建等总</w:t>
      </w:r>
      <w:r>
        <w:rPr>
          <w:rFonts w:hint="eastAsia" w:ascii="仿宋_GB2312" w:hAnsi="仿宋_GB2312" w:cs="仿宋_GB2312"/>
          <w:b w:val="0"/>
          <w:bCs/>
          <w:color w:val="000000" w:themeColor="text1"/>
          <w:sz w:val="32"/>
          <w:szCs w:val="32"/>
          <w:highlight w:val="none"/>
          <w:lang w:val="en-US" w:eastAsia="zh-CN"/>
          <w14:textFill>
            <w14:solidFill>
              <w14:schemeClr w14:val="tx1"/>
            </w14:solidFill>
          </w14:textFill>
        </w:rPr>
        <w:t>投资</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超过50万元</w:t>
      </w:r>
      <w:r>
        <w:rPr>
          <w:rFonts w:hint="eastAsia" w:ascii="仿宋_GB2312" w:hAnsi="仿宋_GB2312" w:cs="仿宋_GB2312"/>
          <w:b w:val="0"/>
          <w:bCs/>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活动</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10</w:t>
      </w: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场（含）以</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上</w:t>
      </w: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outlineLvl w:val="9"/>
        <w:rPr>
          <w:rFonts w:hint="eastAsia" w:ascii="仿宋_GB2312" w:hAnsi="仿宋_GB2312" w:eastAsia="仿宋_GB2312" w:cs="仿宋_GB2312"/>
          <w:b w:val="0"/>
          <w:bCs/>
          <w:color w:val="000000" w:themeColor="text1"/>
          <w:kern w:val="2"/>
          <w:sz w:val="32"/>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highlight w:val="none"/>
          <w:lang w:val="en-US" w:eastAsia="zh-CN" w:bidi="ar-SA"/>
          <w14:textFill>
            <w14:solidFill>
              <w14:schemeClr w14:val="tx1"/>
            </w14:solidFill>
          </w14:textFill>
        </w:rPr>
        <w:t>活动须在石景山区举办，</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申报主体须是活动主办单位或由主办单位委托授权的承办单位，一场活动只能有一方申报</w:t>
      </w:r>
      <w:r>
        <w:rPr>
          <w:rFonts w:hint="eastAsia" w:ascii="仿宋_GB2312" w:hAnsi="仿宋_GB2312" w:eastAsia="仿宋_GB2312" w:cs="仿宋_GB2312"/>
          <w:b w:val="0"/>
          <w:bCs/>
          <w:color w:val="000000" w:themeColor="text1"/>
          <w:kern w:val="2"/>
          <w:sz w:val="32"/>
          <w:szCs w:val="32"/>
          <w:highlight w:val="none"/>
          <w:lang w:val="en-US" w:eastAsia="zh-CN" w:bidi="ar-SA"/>
          <w14:textFill>
            <w14:solidFill>
              <w14:schemeClr w14:val="tx1"/>
            </w14:solidFill>
          </w14:textFill>
        </w:rPr>
        <w:t>。同一主题活动在不同时间段分批次举办的，视为一个活动。申报主体须提供经备案的活动策划方案、活动举办效果相关证明材料。</w:t>
      </w:r>
    </w:p>
    <w:p>
      <w:pPr>
        <w:keepNext w:val="0"/>
        <w:keepLines w:val="0"/>
        <w:pageBreakBefore w:val="0"/>
        <w:widowControl/>
        <w:kinsoku/>
        <w:wordWrap/>
        <w:overflowPunct/>
        <w:topLinePunct w:val="0"/>
        <w:autoSpaceDE/>
        <w:autoSpaceDN/>
        <w:bidi w:val="0"/>
        <w:adjustRightInd/>
        <w:snapToGrid/>
        <w:spacing w:line="560" w:lineRule="exact"/>
        <w:ind w:leftChars="0" w:firstLine="643" w:firstLineChars="200"/>
        <w:jc w:val="left"/>
        <w:textAlignment w:val="auto"/>
        <w:outlineLvl w:val="2"/>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t>支持标准</w:t>
      </w:r>
    </w:p>
    <w:p>
      <w:pPr>
        <w:keepNext w:val="0"/>
        <w:keepLines w:val="0"/>
        <w:pageBreakBefore w:val="0"/>
        <w:kinsoku/>
        <w:wordWrap/>
        <w:overflowPunct/>
        <w:topLinePunct w:val="0"/>
        <w:autoSpaceDE/>
        <w:autoSpaceDN/>
        <w:bidi w:val="0"/>
        <w:spacing w:line="560" w:lineRule="exact"/>
        <w:ind w:left="0" w:leftChars="0" w:right="0" w:rightChars="0" w:firstLine="640" w:firstLineChars="200"/>
        <w:textAlignment w:val="auto"/>
        <w:outlineLvl w:val="9"/>
        <w:rPr>
          <w:rFonts w:hint="eastAsia" w:ascii="仿宋_GB2312" w:hAnsi="仿宋_GB2312" w:cs="仿宋_GB2312"/>
          <w:b w:val="0"/>
          <w:bCs/>
          <w:color w:val="auto"/>
          <w:sz w:val="32"/>
          <w:szCs w:val="32"/>
          <w:highlight w:val="none"/>
          <w:lang w:val="en-US" w:eastAsia="zh-CN"/>
        </w:rPr>
      </w:pP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对在</w:t>
      </w:r>
      <w:r>
        <w:rPr>
          <w:rFonts w:hint="eastAsia" w:ascii="仿宋_GB2312" w:hAnsi="仿宋_GB2312" w:cs="仿宋_GB2312"/>
          <w:b w:val="0"/>
          <w:bCs/>
          <w:color w:val="000000" w:themeColor="text1"/>
          <w:sz w:val="32"/>
          <w:szCs w:val="32"/>
          <w:highlight w:val="none"/>
          <w:lang w:val="en-US" w:eastAsia="zh-CN"/>
          <w14:textFill>
            <w14:solidFill>
              <w14:schemeClr w14:val="tx1"/>
            </w14:solidFill>
          </w14:textFill>
        </w:rPr>
        <w:t>石景山区</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举办</w:t>
      </w:r>
      <w:r>
        <w:rPr>
          <w:rFonts w:hint="eastAsia" w:ascii="仿宋_GB2312" w:hAnsi="仿宋_GB2312" w:cs="仿宋_GB2312"/>
          <w:b w:val="0"/>
          <w:bCs/>
          <w:color w:val="000000" w:themeColor="text1"/>
          <w:sz w:val="32"/>
          <w:szCs w:val="32"/>
          <w:highlight w:val="none"/>
          <w:lang w:val="en-US" w:eastAsia="zh-CN"/>
          <w14:textFill>
            <w14:solidFill>
              <w14:schemeClr w14:val="tx1"/>
            </w14:solidFill>
          </w14:textFill>
        </w:rPr>
        <w:t>的</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知名首发首秀</w:t>
      </w:r>
      <w:r>
        <w:rPr>
          <w:rFonts w:hint="eastAsia" w:ascii="仿宋_GB2312" w:hAnsi="仿宋_GB2312" w:eastAsia="仿宋_GB2312" w:cs="仿宋_GB2312"/>
          <w:b w:val="0"/>
          <w:bCs/>
          <w:color w:val="auto"/>
          <w:sz w:val="32"/>
          <w:szCs w:val="32"/>
          <w:highlight w:val="none"/>
          <w:lang w:val="en-US" w:eastAsia="zh-CN"/>
        </w:rPr>
        <w:t>活动、国际化消费活动</w:t>
      </w:r>
      <w:r>
        <w:rPr>
          <w:rFonts w:hint="eastAsia" w:ascii="仿宋_GB2312" w:hAnsi="仿宋_GB2312" w:cs="仿宋_GB2312"/>
          <w:b w:val="0"/>
          <w:bCs/>
          <w:color w:val="auto"/>
          <w:sz w:val="32"/>
          <w:szCs w:val="32"/>
          <w:highlight w:val="none"/>
          <w:lang w:val="en-US" w:eastAsia="zh-CN"/>
        </w:rPr>
        <w:t>及</w:t>
      </w:r>
      <w:r>
        <w:rPr>
          <w:rFonts w:hint="eastAsia" w:ascii="仿宋_GB2312" w:hAnsi="仿宋_GB2312" w:eastAsia="仿宋_GB2312" w:cs="仿宋_GB2312"/>
          <w:b w:val="0"/>
          <w:bCs/>
          <w:color w:val="auto"/>
          <w:sz w:val="32"/>
          <w:szCs w:val="32"/>
          <w:highlight w:val="none"/>
          <w:lang w:val="en-US" w:eastAsia="zh-CN"/>
        </w:rPr>
        <w:t>特色主题活动，</w:t>
      </w:r>
      <w:r>
        <w:rPr>
          <w:rFonts w:hint="eastAsia" w:ascii="仿宋_GB2312" w:hAnsi="仿宋_GB2312" w:cs="仿宋_GB2312"/>
          <w:b w:val="0"/>
          <w:bCs/>
          <w:color w:val="auto"/>
          <w:sz w:val="32"/>
          <w:szCs w:val="32"/>
          <w:highlight w:val="none"/>
          <w:lang w:val="en-US" w:eastAsia="zh-CN"/>
        </w:rPr>
        <w:t>按照审定实际支出费用的20%，</w:t>
      </w:r>
      <w:r>
        <w:rPr>
          <w:rFonts w:hint="eastAsia" w:ascii="仿宋_GB2312" w:hAnsi="仿宋_GB2312" w:eastAsia="仿宋_GB2312" w:cs="仿宋_GB2312"/>
          <w:b w:val="0"/>
          <w:bCs/>
          <w:color w:val="auto"/>
          <w:sz w:val="32"/>
          <w:szCs w:val="32"/>
          <w:highlight w:val="none"/>
          <w:lang w:val="en-US" w:eastAsia="zh-CN"/>
        </w:rPr>
        <w:t>给予最高50万元</w:t>
      </w:r>
      <w:r>
        <w:rPr>
          <w:rFonts w:hint="eastAsia" w:ascii="仿宋_GB2312" w:hAnsi="仿宋_GB2312" w:cs="仿宋_GB2312"/>
          <w:b w:val="0"/>
          <w:bCs/>
          <w:color w:val="auto"/>
          <w:sz w:val="32"/>
          <w:szCs w:val="32"/>
          <w:highlight w:val="none"/>
          <w:lang w:val="en-US" w:eastAsia="zh-CN"/>
        </w:rPr>
        <w:t>资金</w:t>
      </w:r>
      <w:r>
        <w:rPr>
          <w:rFonts w:hint="eastAsia" w:ascii="仿宋_GB2312" w:hAnsi="仿宋_GB2312" w:eastAsia="仿宋_GB2312" w:cs="仿宋_GB2312"/>
          <w:b w:val="0"/>
          <w:bCs/>
          <w:color w:val="auto"/>
          <w:sz w:val="32"/>
          <w:szCs w:val="32"/>
          <w:highlight w:val="none"/>
          <w:lang w:val="en-US" w:eastAsia="zh-CN"/>
        </w:rPr>
        <w:t>支持</w:t>
      </w:r>
      <w:r>
        <w:rPr>
          <w:rFonts w:hint="eastAsia" w:ascii="仿宋_GB2312" w:hAnsi="仿宋_GB2312" w:eastAsia="仿宋_GB2312" w:cs="仿宋_GB2312"/>
          <w:b w:val="0"/>
          <w:bCs/>
          <w:color w:val="auto"/>
          <w:sz w:val="32"/>
          <w:szCs w:val="32"/>
          <w:highlight w:val="none"/>
        </w:rPr>
        <w:t>。</w:t>
      </w:r>
    </w:p>
    <w:p>
      <w:pPr>
        <w:keepNext w:val="0"/>
        <w:keepLines w:val="0"/>
        <w:pageBreakBefore w:val="0"/>
        <w:kinsoku/>
        <w:wordWrap/>
        <w:overflowPunct/>
        <w:topLinePunct w:val="0"/>
        <w:autoSpaceDE/>
        <w:autoSpaceDN/>
        <w:bidi w:val="0"/>
        <w:spacing w:line="560" w:lineRule="exact"/>
        <w:ind w:left="0" w:leftChars="0" w:right="0" w:rightChars="0" w:firstLine="640" w:firstLineChars="200"/>
        <w:textAlignment w:val="auto"/>
        <w:rPr>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val="0"/>
          <w:bCs/>
          <w:color w:val="auto"/>
          <w:sz w:val="32"/>
          <w:szCs w:val="32"/>
          <w:highlight w:val="none"/>
          <w:lang w:val="en-US" w:eastAsia="zh-CN"/>
        </w:rPr>
        <w:t>对主办或承办区级以上大型商业活动、自主策划举办促消费活动的，给予最高20万元资金支持</w:t>
      </w:r>
      <w:r>
        <w:rPr>
          <w:rFonts w:hint="eastAsia" w:ascii="仿宋_GB2312" w:hAnsi="仿宋_GB2312" w:cs="仿宋_GB2312"/>
          <w:b w:val="0"/>
          <w:bCs/>
          <w:color w:val="auto"/>
          <w:sz w:val="32"/>
          <w:szCs w:val="32"/>
          <w:highlight w:val="none"/>
          <w:lang w:val="en-US" w:eastAsia="zh-CN"/>
        </w:rPr>
        <w:t>。</w:t>
      </w:r>
      <w:r>
        <w:rPr>
          <w:rFonts w:hint="eastAsia" w:ascii="仿宋_GB2312" w:hAnsi="仿宋_GB2312" w:eastAsia="仿宋_GB2312" w:cs="仿宋_GB2312"/>
          <w:b w:val="0"/>
          <w:bCs/>
          <w:color w:val="auto"/>
          <w:sz w:val="32"/>
          <w:szCs w:val="32"/>
          <w:highlight w:val="none"/>
          <w:lang w:val="en-US" w:eastAsia="zh-CN"/>
        </w:rPr>
        <w:t>①主办或承办区级以上大型商业活动</w:t>
      </w:r>
      <w:r>
        <w:rPr>
          <w:rFonts w:hint="eastAsia" w:ascii="仿宋_GB2312" w:hAnsi="仿宋_GB2312" w:cs="仿宋_GB2312"/>
          <w:b w:val="0"/>
          <w:bCs/>
          <w:color w:val="auto"/>
          <w:sz w:val="32"/>
          <w:szCs w:val="32"/>
          <w:highlight w:val="none"/>
          <w:lang w:val="en-US" w:eastAsia="zh-CN"/>
        </w:rPr>
        <w:t>的，</w:t>
      </w:r>
      <w:r>
        <w:rPr>
          <w:rFonts w:hint="eastAsia" w:ascii="仿宋_GB2312" w:hAnsi="仿宋_GB2312" w:eastAsia="仿宋_GB2312" w:cs="仿宋_GB2312"/>
          <w:b w:val="0"/>
          <w:bCs/>
          <w:color w:val="auto"/>
          <w:sz w:val="32"/>
          <w:szCs w:val="32"/>
          <w:highlight w:val="none"/>
          <w:lang w:val="en-US" w:eastAsia="zh-CN"/>
        </w:rPr>
        <w:t>按照活动</w:t>
      </w:r>
      <w:r>
        <w:rPr>
          <w:rFonts w:hint="eastAsia" w:ascii="仿宋_GB2312" w:hAnsi="仿宋_GB2312" w:cs="仿宋_GB2312"/>
          <w:b w:val="0"/>
          <w:bCs/>
          <w:color w:val="auto"/>
          <w:sz w:val="32"/>
          <w:szCs w:val="32"/>
          <w:highlight w:val="none"/>
          <w:lang w:val="en-US" w:eastAsia="zh-CN"/>
        </w:rPr>
        <w:t>审定</w:t>
      </w:r>
      <w:r>
        <w:rPr>
          <w:rFonts w:hint="eastAsia" w:ascii="仿宋_GB2312" w:hAnsi="仿宋_GB2312" w:eastAsia="仿宋_GB2312" w:cs="仿宋_GB2312"/>
          <w:b w:val="0"/>
          <w:bCs/>
          <w:color w:val="auto"/>
          <w:sz w:val="32"/>
          <w:szCs w:val="32"/>
          <w:highlight w:val="none"/>
          <w:lang w:val="en-US" w:eastAsia="zh-CN"/>
        </w:rPr>
        <w:t>实际支出费用的</w:t>
      </w:r>
      <w:r>
        <w:rPr>
          <w:rFonts w:hint="eastAsia" w:ascii="仿宋_GB2312" w:hAnsi="仿宋_GB2312" w:cs="仿宋_GB2312"/>
          <w:b w:val="0"/>
          <w:bCs/>
          <w:color w:val="auto"/>
          <w:sz w:val="32"/>
          <w:szCs w:val="32"/>
          <w:highlight w:val="none"/>
          <w:lang w:val="en-US" w:eastAsia="zh-CN"/>
        </w:rPr>
        <w:t>2</w:t>
      </w:r>
      <w:r>
        <w:rPr>
          <w:rFonts w:hint="eastAsia" w:ascii="仿宋_GB2312" w:hAnsi="仿宋_GB2312" w:eastAsia="仿宋_GB2312" w:cs="仿宋_GB2312"/>
          <w:b w:val="0"/>
          <w:bCs/>
          <w:color w:val="auto"/>
          <w:sz w:val="32"/>
          <w:szCs w:val="32"/>
          <w:highlight w:val="none"/>
          <w:lang w:val="en-US" w:eastAsia="zh-CN"/>
        </w:rPr>
        <w:t>0%给予</w:t>
      </w:r>
      <w:r>
        <w:rPr>
          <w:rFonts w:hint="eastAsia" w:ascii="仿宋_GB2312" w:hAnsi="仿宋_GB2312" w:cs="仿宋_GB2312"/>
          <w:b w:val="0"/>
          <w:bCs/>
          <w:color w:val="auto"/>
          <w:sz w:val="32"/>
          <w:szCs w:val="32"/>
          <w:highlight w:val="none"/>
          <w:lang w:val="en-US" w:eastAsia="zh-CN"/>
        </w:rPr>
        <w:t>资金</w:t>
      </w:r>
      <w:r>
        <w:rPr>
          <w:rFonts w:hint="eastAsia" w:ascii="仿宋_GB2312" w:hAnsi="仿宋_GB2312" w:eastAsia="仿宋_GB2312" w:cs="仿宋_GB2312"/>
          <w:b w:val="0"/>
          <w:bCs/>
          <w:color w:val="auto"/>
          <w:sz w:val="32"/>
          <w:szCs w:val="32"/>
          <w:highlight w:val="none"/>
          <w:lang w:val="en-US" w:eastAsia="zh-CN"/>
        </w:rPr>
        <w:t>支持。</w:t>
      </w:r>
      <w:r>
        <w:rPr>
          <w:rFonts w:hint="eastAsia" w:ascii="仿宋_GB2312" w:hAnsi="仿宋_GB2312" w:eastAsia="仿宋_GB2312" w:cs="仿宋_GB2312"/>
          <w:b w:val="0"/>
          <w:bCs/>
          <w:color w:val="auto"/>
          <w:sz w:val="32"/>
          <w:szCs w:val="32"/>
          <w:highlight w:val="none"/>
          <w:lang w:eastAsia="zh-CN"/>
        </w:rPr>
        <w:t>②</w:t>
      </w:r>
      <w:r>
        <w:rPr>
          <w:rFonts w:hint="eastAsia" w:ascii="仿宋_GB2312" w:hAnsi="仿宋_GB2312" w:cs="仿宋_GB2312"/>
          <w:b w:val="0"/>
          <w:bCs/>
          <w:color w:val="auto"/>
          <w:sz w:val="32"/>
          <w:szCs w:val="32"/>
          <w:highlight w:val="none"/>
          <w:lang w:val="en-US" w:eastAsia="zh-CN"/>
        </w:rPr>
        <w:t>对</w:t>
      </w:r>
      <w:r>
        <w:rPr>
          <w:rFonts w:hint="eastAsia" w:ascii="仿宋_GB2312" w:hAnsi="仿宋_GB2312" w:eastAsia="仿宋_GB2312" w:cs="仿宋_GB2312"/>
          <w:b w:val="0"/>
          <w:bCs/>
          <w:color w:val="auto"/>
          <w:sz w:val="32"/>
          <w:szCs w:val="32"/>
          <w:highlight w:val="none"/>
          <w:lang w:val="en-US" w:eastAsia="zh-CN"/>
        </w:rPr>
        <w:t>自主策划举办促消费活动的</w:t>
      </w:r>
      <w:r>
        <w:rPr>
          <w:rFonts w:hint="eastAsia" w:ascii="仿宋_GB2312" w:hAnsi="仿宋_GB2312" w:cs="仿宋_GB2312"/>
          <w:b w:val="0"/>
          <w:bCs/>
          <w:color w:val="auto"/>
          <w:sz w:val="32"/>
          <w:szCs w:val="32"/>
          <w:highlight w:val="none"/>
          <w:lang w:val="en-US" w:eastAsia="zh-CN"/>
        </w:rPr>
        <w:t>，</w:t>
      </w:r>
      <w:r>
        <w:rPr>
          <w:rFonts w:hint="eastAsia" w:ascii="仿宋_GB2312" w:hAnsi="仿宋_GB2312" w:eastAsia="仿宋_GB2312" w:cs="仿宋_GB2312"/>
          <w:b w:val="0"/>
          <w:bCs/>
          <w:color w:val="auto"/>
          <w:sz w:val="32"/>
          <w:szCs w:val="32"/>
          <w:highlight w:val="none"/>
        </w:rPr>
        <w:t>按照活动</w:t>
      </w:r>
      <w:r>
        <w:rPr>
          <w:rFonts w:hint="eastAsia" w:ascii="仿宋_GB2312" w:hAnsi="仿宋_GB2312" w:cs="仿宋_GB2312"/>
          <w:b w:val="0"/>
          <w:bCs/>
          <w:color w:val="auto"/>
          <w:sz w:val="32"/>
          <w:szCs w:val="32"/>
          <w:highlight w:val="none"/>
          <w:lang w:eastAsia="zh-CN"/>
        </w:rPr>
        <w:t>审定</w:t>
      </w:r>
      <w:r>
        <w:rPr>
          <w:rFonts w:hint="eastAsia" w:ascii="仿宋_GB2312" w:hAnsi="仿宋_GB2312" w:cs="仿宋_GB2312"/>
          <w:b w:val="0"/>
          <w:bCs/>
          <w:color w:val="auto"/>
          <w:sz w:val="32"/>
          <w:szCs w:val="32"/>
          <w:highlight w:val="none"/>
          <w:lang w:val="en-US" w:eastAsia="zh-CN"/>
        </w:rPr>
        <w:t>实际</w:t>
      </w:r>
      <w:r>
        <w:rPr>
          <w:rFonts w:hint="eastAsia" w:ascii="仿宋_GB2312" w:hAnsi="仿宋_GB2312" w:eastAsia="仿宋_GB2312" w:cs="仿宋_GB2312"/>
          <w:b w:val="0"/>
          <w:bCs/>
          <w:color w:val="auto"/>
          <w:sz w:val="32"/>
          <w:szCs w:val="32"/>
          <w:highlight w:val="none"/>
        </w:rPr>
        <w:t>支出费用的</w:t>
      </w:r>
      <w:r>
        <w:rPr>
          <w:rFonts w:hint="eastAsia" w:ascii="仿宋_GB2312" w:hAnsi="仿宋_GB2312" w:cs="仿宋_GB2312"/>
          <w:b w:val="0"/>
          <w:bCs/>
          <w:color w:val="auto"/>
          <w:sz w:val="32"/>
          <w:szCs w:val="32"/>
          <w:highlight w:val="none"/>
          <w:lang w:val="en-US" w:eastAsia="zh-CN"/>
        </w:rPr>
        <w:t>1</w:t>
      </w:r>
      <w:r>
        <w:rPr>
          <w:rFonts w:hint="eastAsia" w:ascii="仿宋_GB2312" w:hAnsi="仿宋_GB2312" w:eastAsia="仿宋_GB2312" w:cs="仿宋_GB2312"/>
          <w:b w:val="0"/>
          <w:bCs/>
          <w:color w:val="auto"/>
          <w:sz w:val="32"/>
          <w:szCs w:val="32"/>
          <w:highlight w:val="none"/>
        </w:rPr>
        <w:t>0%</w:t>
      </w:r>
      <w:r>
        <w:rPr>
          <w:rFonts w:hint="eastAsia" w:ascii="仿宋_GB2312" w:hAnsi="仿宋_GB2312" w:eastAsia="仿宋_GB2312" w:cs="仿宋_GB2312"/>
          <w:b w:val="0"/>
          <w:bCs/>
          <w:color w:val="auto"/>
          <w:sz w:val="32"/>
          <w:szCs w:val="32"/>
          <w:highlight w:val="none"/>
          <w:lang w:val="en-US" w:eastAsia="zh-CN"/>
        </w:rPr>
        <w:t>给予</w:t>
      </w:r>
      <w:r>
        <w:rPr>
          <w:rFonts w:hint="eastAsia" w:ascii="仿宋_GB2312" w:hAnsi="仿宋_GB2312" w:cs="仿宋_GB2312"/>
          <w:b w:val="0"/>
          <w:bCs/>
          <w:color w:val="auto"/>
          <w:sz w:val="32"/>
          <w:szCs w:val="32"/>
          <w:highlight w:val="none"/>
          <w:lang w:val="en-US" w:eastAsia="zh-CN"/>
        </w:rPr>
        <w:t>资金</w:t>
      </w:r>
      <w:r>
        <w:rPr>
          <w:rFonts w:hint="eastAsia" w:ascii="仿宋_GB2312" w:hAnsi="仿宋_GB2312" w:eastAsia="仿宋_GB2312" w:cs="仿宋_GB2312"/>
          <w:b w:val="0"/>
          <w:bCs/>
          <w:color w:val="auto"/>
          <w:sz w:val="32"/>
          <w:szCs w:val="32"/>
          <w:highlight w:val="none"/>
        </w:rPr>
        <w:t>支持</w:t>
      </w:r>
      <w:r>
        <w:rPr>
          <w:rFonts w:hint="eastAsia" w:ascii="仿宋_GB2312" w:hAnsi="仿宋_GB2312" w:eastAsia="仿宋_GB2312" w:cs="仿宋_GB2312"/>
          <w:b w:val="0"/>
          <w:bCs/>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2.重大会展活动支持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2"/>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（1）申报条件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活动</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须</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在石景山区举办</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单场次会展活动实际支出费用不低于100万元，单场次直播电商活动实际支出费用不低于50万元，符合区域发展定位</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具有一定的国内外影响力</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行业带动效应；申报主体须是活动主办单位或由主办单位委托授权的承办单位，一场活动只能有一方申报；同一主题活动在不同时间段分批次举办的，视为一个活动</w:t>
      </w:r>
      <w:r>
        <w:rPr>
          <w:rFonts w:hint="eastAsia" w:ascii="仿宋_GB2312" w:hAnsi="仿宋_GB2312" w:eastAsia="仿宋_GB2312" w:cs="仿宋_GB2312"/>
          <w:i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（2）支持标准</w:t>
      </w:r>
    </w:p>
    <w:p>
      <w:pPr>
        <w:keepNext w:val="0"/>
        <w:keepLines w:val="0"/>
        <w:pageBreakBefore w:val="0"/>
        <w:numPr>
          <w:ilvl w:val="0"/>
          <w:numId w:val="0"/>
        </w:numPr>
        <w:kinsoku/>
        <w:wordWrap/>
        <w:overflowPunct/>
        <w:topLinePunct w:val="0"/>
        <w:autoSpaceDE/>
        <w:autoSpaceDN/>
        <w:bidi w:val="0"/>
        <w:spacing w:after="0" w:line="560" w:lineRule="exact"/>
        <w:ind w:leftChars="0" w:firstLine="640" w:firstLineChars="200"/>
        <w:textAlignment w:val="auto"/>
        <w:rPr>
          <w:rFonts w:hint="default"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对在</w:t>
      </w:r>
      <w:r>
        <w:rPr>
          <w:rFonts w:hint="eastAsia" w:ascii="仿宋_GB2312" w:hAnsi="仿宋_GB2312" w:cs="仿宋_GB2312"/>
          <w:color w:val="000000" w:themeColor="text1"/>
          <w:kern w:val="2"/>
          <w:sz w:val="32"/>
          <w:szCs w:val="32"/>
          <w:highlight w:val="none"/>
          <w:lang w:val="en-US" w:eastAsia="zh-CN" w:bidi="ar-SA"/>
          <w14:textFill>
            <w14:solidFill>
              <w14:schemeClr w14:val="tx1"/>
            </w14:solidFill>
          </w14:textFill>
        </w:rPr>
        <w:t>石景山区</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举办的符合区域发展</w:t>
      </w:r>
      <w:r>
        <w:rPr>
          <w:rFonts w:hint="eastAsia" w:ascii="仿宋_GB2312" w:hAnsi="仿宋_GB2312" w:cs="仿宋_GB2312"/>
          <w:color w:val="000000" w:themeColor="text1"/>
          <w:kern w:val="2"/>
          <w:sz w:val="32"/>
          <w:szCs w:val="32"/>
          <w:highlight w:val="none"/>
          <w:lang w:val="en-US" w:eastAsia="zh-CN" w:bidi="ar-SA"/>
          <w14:textFill>
            <w14:solidFill>
              <w14:schemeClr w14:val="tx1"/>
            </w14:solidFill>
          </w14:textFill>
        </w:rPr>
        <w:t>定位，</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具有国内外影响力、行业带动效应的会展活动、直播电商活动等，给予最高</w:t>
      </w:r>
      <w:r>
        <w:rPr>
          <w:rFonts w:hint="eastAsia" w:ascii="仿宋_GB2312" w:hAnsi="仿宋_GB2312" w:cs="仿宋_GB2312"/>
          <w:color w:val="000000" w:themeColor="text1"/>
          <w:kern w:val="2"/>
          <w:sz w:val="32"/>
          <w:szCs w:val="32"/>
          <w:highlight w:val="none"/>
          <w:lang w:val="en-US" w:eastAsia="zh-CN" w:bidi="ar-SA"/>
          <w14:textFill>
            <w14:solidFill>
              <w14:schemeClr w14:val="tx1"/>
            </w14:solidFill>
          </w14:textFill>
        </w:rPr>
        <w:t>50</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万元资金支持。</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经认定的会展活动</w:t>
      </w:r>
      <w:r>
        <w:rPr>
          <w:rFonts w:hint="eastAsia" w:ascii="仿宋_GB2312" w:hAnsi="仿宋_GB2312" w:cs="仿宋_GB2312"/>
          <w:b w:val="0"/>
          <w:bCs w:val="0"/>
          <w:color w:val="000000" w:themeColor="text1"/>
          <w:sz w:val="32"/>
          <w:szCs w:val="22"/>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直播电商活动</w:t>
      </w:r>
      <w:r>
        <w:rPr>
          <w:rFonts w:hint="eastAsia" w:ascii="仿宋_GB2312" w:hAnsi="仿宋_GB2312" w:cs="仿宋_GB2312"/>
          <w:b w:val="0"/>
          <w:bCs w:val="0"/>
          <w:color w:val="000000" w:themeColor="text1"/>
          <w:sz w:val="32"/>
          <w:szCs w:val="22"/>
          <w:highlight w:val="none"/>
          <w:lang w:val="en-US" w:eastAsia="zh-CN"/>
          <w14:textFill>
            <w14:solidFill>
              <w14:schemeClr w14:val="tx1"/>
            </w14:solidFill>
          </w14:textFill>
        </w:rPr>
        <w:t>等</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按照活动</w:t>
      </w:r>
      <w:r>
        <w:rPr>
          <w:rFonts w:hint="eastAsia" w:ascii="仿宋_GB2312" w:hAnsi="仿宋_GB2312" w:cs="仿宋_GB2312"/>
          <w:color w:val="000000" w:themeColor="text1"/>
          <w:sz w:val="32"/>
          <w:szCs w:val="32"/>
          <w:highlight w:val="none"/>
          <w:lang w:eastAsia="zh-CN"/>
          <w14:textFill>
            <w14:solidFill>
              <w14:schemeClr w14:val="tx1"/>
            </w14:solidFill>
          </w14:textFill>
        </w:rPr>
        <w:t>审定</w:t>
      </w:r>
      <w:r>
        <w:rPr>
          <w:rFonts w:hint="eastAsia" w:ascii="仿宋_GB2312" w:hAnsi="仿宋_GB2312" w:eastAsia="仿宋_GB2312" w:cs="仿宋_GB2312"/>
          <w:color w:val="000000" w:themeColor="text1"/>
          <w:sz w:val="32"/>
          <w:szCs w:val="32"/>
          <w:highlight w:val="none"/>
          <w14:textFill>
            <w14:solidFill>
              <w14:schemeClr w14:val="tx1"/>
            </w14:solidFill>
          </w14:textFill>
        </w:rPr>
        <w:t>实际支出费用的</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sz w:val="32"/>
          <w:szCs w:val="32"/>
          <w:highlight w:val="none"/>
          <w14:textFill>
            <w14:solidFill>
              <w14:schemeClr w14:val="tx1"/>
            </w14:solidFill>
          </w14:textFill>
        </w:rPr>
        <w:t>给予</w:t>
      </w:r>
      <w:r>
        <w:rPr>
          <w:rFonts w:hint="eastAsia" w:ascii="仿宋_GB2312" w:hAnsi="仿宋_GB2312" w:cs="仿宋_GB2312"/>
          <w:color w:val="000000" w:themeColor="text1"/>
          <w:sz w:val="32"/>
          <w:szCs w:val="32"/>
          <w:highlight w:val="none"/>
          <w:lang w:eastAsia="zh-CN"/>
          <w14:textFill>
            <w14:solidFill>
              <w14:schemeClr w14:val="tx1"/>
            </w14:solidFill>
          </w14:textFill>
        </w:rPr>
        <w:t>资金支持</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3" w:firstLineChars="200"/>
        <w:jc w:val="left"/>
        <w:textAlignment w:val="auto"/>
        <w:rPr>
          <w:rFonts w:hint="default"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t>第六条  支持跨境消费提质升级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default"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离境退税</w:t>
      </w:r>
      <w:r>
        <w:rPr>
          <w:rFonts w:hint="eastAsia" w:ascii="仿宋_GB2312" w:hAnsi="仿宋_GB2312" w:cs="仿宋_GB2312"/>
          <w:b/>
          <w:bCs/>
          <w:color w:val="000000" w:themeColor="text1"/>
          <w:kern w:val="2"/>
          <w:sz w:val="32"/>
          <w:szCs w:val="32"/>
          <w:highlight w:val="none"/>
          <w:lang w:val="en-US" w:eastAsia="zh-CN" w:bidi="ar-SA"/>
          <w14:textFill>
            <w14:solidFill>
              <w14:schemeClr w14:val="tx1"/>
            </w14:solidFill>
          </w14:textFill>
        </w:rPr>
        <w:t>商店支持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t>申报条件</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outlineLvl w:val="9"/>
        <w:rPr>
          <w:rFonts w:hint="default"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离境退税商店是指经北京市税务部门备案，境外旅客从其购买退税物品离境可申请退税的企业。离境退税“即买即退”试点商店是指在特定地区内，经过北京市税务部门备案的商店，为境外旅客提供购物后即时退还增值税款的服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t>支持标准</w:t>
      </w:r>
    </w:p>
    <w:p>
      <w:pPr>
        <w:keepNext w:val="0"/>
        <w:keepLines w:val="0"/>
        <w:pageBreakBefore w:val="0"/>
        <w:widowControl w:val="0"/>
        <w:kinsoku/>
        <w:wordWrap/>
        <w:overflowPunct/>
        <w:topLinePunct w:val="0"/>
        <w:autoSpaceDE/>
        <w:autoSpaceDN/>
        <w:bidi w:val="0"/>
        <w:spacing w:after="0" w:line="560" w:lineRule="exact"/>
        <w:ind w:leftChars="0" w:firstLine="640" w:firstLineChars="200"/>
        <w:jc w:val="both"/>
        <w:textAlignment w:val="auto"/>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对经北京市认定新入选的离境退税商店、离境退税“即买即退”试点商店，给予最高10万元资金支</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持。①对经北京市认定新入选的离境退税商店，给予2万元资金支持。②对新入选的离境退税“即买即退”试点商店，给予10万元资金支持。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default"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val="0"/>
          <w:color w:val="000000" w:themeColor="text1"/>
          <w:sz w:val="32"/>
          <w:szCs w:val="32"/>
          <w:highlight w:val="none"/>
          <w:lang w:val="en-US" w:eastAsia="zh-CN"/>
          <w14:textFill>
            <w14:solidFill>
              <w14:schemeClr w14:val="tx1"/>
            </w14:solidFill>
          </w14:textFill>
        </w:rPr>
        <w:t>2.跨境电商企业支持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t>申报条件</w: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outlineLvl w:val="9"/>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年度跨境电子商务线上交易额或进出口贸易额达到200万美元以上。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val="0"/>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t>支持标准</w:t>
      </w:r>
    </w:p>
    <w:p>
      <w:pPr>
        <w:keepNext w:val="0"/>
        <w:keepLines w:val="0"/>
        <w:pageBreakBefore w:val="0"/>
        <w:widowControl/>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spacing w:line="560" w:lineRule="exact"/>
        <w:ind w:left="0" w:leftChars="0" w:firstLine="640" w:firstLineChars="200"/>
        <w:jc w:val="left"/>
        <w:textAlignment w:val="auto"/>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支持跨境电商企业发展，根据线上交易额</w:t>
      </w:r>
      <w:r>
        <w:rPr>
          <w:rFonts w:hint="eastAsia" w:ascii="仿宋_GB2312" w:hAnsi="仿宋_GB2312" w:cs="仿宋_GB2312"/>
          <w:color w:val="000000" w:themeColor="text1"/>
          <w:kern w:val="2"/>
          <w:sz w:val="32"/>
          <w:szCs w:val="32"/>
          <w:highlight w:val="none"/>
          <w:lang w:val="en-US" w:eastAsia="zh-CN" w:bidi="ar-SA"/>
          <w14:textFill>
            <w14:solidFill>
              <w14:schemeClr w14:val="tx1"/>
            </w14:solidFill>
          </w14:textFill>
        </w:rPr>
        <w:t>或</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进出口贸易额，给予最高30万元资金支持。</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①年度跨境电子商务线上交易额或进出口贸易额200（含）-500万美元的企业，给予10万元资金支持</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②年度跨境电子商务线上交易额或进出口贸易额500（含）-1000万美元的企业，给予20万元资金支持</w:t>
      </w: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③年度跨境电子商务线上交易额或进出口贸易额1000万美元（含）以上的企业，给予30万元资金支持。</w:t>
      </w:r>
    </w:p>
    <w:p>
      <w:pPr>
        <w:keepNext w:val="0"/>
        <w:keepLines w:val="0"/>
        <w:pageBreakBefore w:val="0"/>
        <w:widowControl w:val="0"/>
        <w:kinsoku/>
        <w:wordWrap/>
        <w:overflowPunct/>
        <w:topLinePunct w:val="0"/>
        <w:autoSpaceDE/>
        <w:autoSpaceDN/>
        <w:bidi w:val="0"/>
        <w:spacing w:after="0" w:line="560" w:lineRule="exact"/>
        <w:ind w:leftChars="0" w:firstLine="643" w:firstLineChars="200"/>
        <w:jc w:val="both"/>
        <w:textAlignment w:val="auto"/>
        <w:rPr>
          <w:rStyle w:val="20"/>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第七条  支</w:t>
      </w:r>
      <w:r>
        <w:rPr>
          <w:rStyle w:val="20"/>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持便民服务体系建设</w:t>
      </w:r>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left"/>
        <w:textAlignment w:val="auto"/>
        <w:outlineLvl w:val="2"/>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lang w:val="en-US" w:eastAsia="zh-CN"/>
          <w14:textFill>
            <w14:solidFill>
              <w14:schemeClr w14:val="tx1"/>
            </w14:solidFill>
          </w14:textFill>
        </w:rPr>
        <w:t>1.申报条件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outlineLvl w:val="9"/>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highlight w:val="none"/>
          <w:lang w:val="en-US" w:eastAsia="zh-CN" w:bidi="ar"/>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申报项目持续经营</w:t>
      </w:r>
      <w:r>
        <w:rPr>
          <w:rFonts w:hint="eastAsia" w:ascii="仿宋_GB2312" w:hAnsi="仿宋_GB2312" w:cs="仿宋_GB2312"/>
          <w:color w:val="000000" w:themeColor="text1"/>
          <w:sz w:val="32"/>
          <w:szCs w:val="32"/>
          <w:highlight w:val="none"/>
          <w:lang w:eastAsia="zh-CN"/>
          <w14:textFill>
            <w14:solidFill>
              <w14:schemeClr w14:val="tx1"/>
            </w14:solidFill>
          </w14:textFill>
        </w:rPr>
        <w:t>满</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个月</w:t>
      </w:r>
      <w:r>
        <w:rPr>
          <w:rFonts w:hint="eastAsia" w:ascii="仿宋_GB2312" w:hAnsi="仿宋_GB2312" w:cs="仿宋_GB2312"/>
          <w:color w:val="000000" w:themeColor="text1"/>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outlineLvl w:val="9"/>
        <w:rPr>
          <w:rFonts w:hint="eastAsia" w:ascii="仿宋_GB2312" w:hAnsi="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建设项目符合</w:t>
      </w:r>
      <w:r>
        <w:rPr>
          <w:rFonts w:hint="eastAsia" w:ascii="仿宋_GB2312" w:hAnsi="仿宋_GB2312" w:eastAsia="仿宋_GB2312" w:cs="仿宋_GB2312"/>
          <w:color w:val="000000" w:themeColor="text1"/>
          <w:kern w:val="2"/>
          <w:sz w:val="32"/>
          <w:szCs w:val="32"/>
          <w:highlight w:val="none"/>
          <w:lang w:val="en-US" w:eastAsia="zh-CN"/>
          <w14:textFill>
            <w14:solidFill>
              <w14:schemeClr w14:val="tx1"/>
            </w14:solidFill>
          </w14:textFill>
        </w:rPr>
        <w:t>北京市一刻钟便民生活圈评估标准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符合</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石景山区</w:t>
      </w:r>
      <w:r>
        <w:rPr>
          <w:rFonts w:hint="eastAsia" w:ascii="仿宋_GB2312" w:hAnsi="仿宋_GB2312" w:eastAsia="仿宋_GB2312" w:cs="仿宋_GB2312"/>
          <w:color w:val="000000" w:themeColor="text1"/>
          <w:sz w:val="32"/>
          <w:szCs w:val="32"/>
          <w:highlight w:val="none"/>
          <w14:textFill>
            <w14:solidFill>
              <w14:schemeClr w14:val="tx1"/>
            </w14:solidFill>
          </w14:textFill>
        </w:rPr>
        <w:t>城市建设规划要求，被所属街道认定符合本街道的生活性服务业规划布局</w:t>
      </w:r>
      <w:r>
        <w:rPr>
          <w:rFonts w:hint="eastAsia" w:ascii="仿宋_GB2312" w:hAnsi="仿宋_GB2312" w:cs="仿宋_GB2312"/>
          <w:color w:val="000000" w:themeColor="text1"/>
          <w:sz w:val="32"/>
          <w:szCs w:val="32"/>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基本保障类业态包括：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蔬菜零售（</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社区菜店、生鲜超市、综合超市）、便利店（社区超市）、便民早餐（</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经营品种≥8种、经</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营</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时间不晚于7：00，供餐时长≥2小时)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洗衣、家政、小修小补小配</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、快递驿站</w:t>
      </w:r>
      <w:r>
        <w:rPr>
          <w:rFonts w:hint="eastAsia" w:ascii="仿宋_GB2312" w:hAnsi="仿宋_GB2312" w:eastAsia="仿宋_GB2312" w:cs="仿宋_GB2312"/>
          <w:color w:val="000000" w:themeColor="text1"/>
          <w:sz w:val="32"/>
          <w:szCs w:val="32"/>
          <w:highlight w:val="none"/>
          <w14:textFill>
            <w14:solidFill>
              <w14:schemeClr w14:val="tx1"/>
            </w14:solidFill>
          </w14:textFill>
        </w:rPr>
        <w:t>等</w:t>
      </w:r>
      <w:r>
        <w:rPr>
          <w:rFonts w:hint="eastAsia" w:ascii="仿宋_GB2312" w:hAnsi="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品质提升类业态包括：</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社区养老机构、托育机构、社区食堂、儿童娱乐中心、艺术培训点、鲜花礼品、特色餐饮店、茶饮咖啡店、蛋糕甜点、新式书店、健身场所、电影院、文娱演出场所、宠物服务、自助寄存仓等。</w:t>
      </w:r>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textAlignment w:val="auto"/>
        <w:outlineLvl w:val="2"/>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2.支持标准</w:t>
      </w:r>
    </w:p>
    <w:p>
      <w:pPr>
        <w:keepNext w:val="0"/>
        <w:keepLines w:val="0"/>
        <w:pageBreakBefore w:val="0"/>
        <w:widowControl w:val="0"/>
        <w:kinsoku/>
        <w:wordWrap/>
        <w:overflowPunct/>
        <w:topLinePunct w:val="0"/>
        <w:autoSpaceDE/>
        <w:autoSpaceDN/>
        <w:bidi w:val="0"/>
        <w:snapToGrid w:val="0"/>
        <w:spacing w:line="560" w:lineRule="exact"/>
        <w:ind w:leftChars="0" w:firstLine="640" w:firstLineChars="200"/>
        <w:textAlignment w:val="auto"/>
        <w:outlineLvl w:val="9"/>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1）</w:t>
      </w:r>
      <w:r>
        <w:rPr>
          <w:rStyle w:val="20"/>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对新建的便民生活圈基本保障类业态网点，给予最高20万元资金支持</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①</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新建</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面积不小于</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30㎡的基本保障类业态网点</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按照</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审定</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投资</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总</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额的</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10</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%给予</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资金</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支持，单个项目最高支持10万元。</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②</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对重点区域具有补短板作用</w:t>
      </w:r>
      <w:r>
        <w:rPr>
          <w:rFonts w:hint="eastAsia" w:ascii="仿宋_GB2312" w:hAnsi="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的项目，</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按照</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审定</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投资</w:t>
      </w:r>
      <w:r>
        <w:rPr>
          <w:rFonts w:hint="eastAsia" w:ascii="仿宋_GB2312" w:hAnsi="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总</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额的</w:t>
      </w:r>
      <w:r>
        <w:rPr>
          <w:rFonts w:hint="eastAsia" w:ascii="仿宋_GB2312" w:hAnsi="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2</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0%给予</w:t>
      </w:r>
      <w:r>
        <w:rPr>
          <w:rFonts w:hint="eastAsia" w:ascii="仿宋_GB2312" w:hAnsi="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资金</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支持，单个项目最高支持</w:t>
      </w:r>
      <w:r>
        <w:rPr>
          <w:rFonts w:hint="eastAsia" w:ascii="仿宋_GB2312" w:hAnsi="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20</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万元。</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支持</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内容包括店面装修、</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软</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硬件设备购置</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、首年租金</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等费用</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60" w:lineRule="exact"/>
        <w:ind w:leftChars="0" w:firstLine="640" w:firstLineChars="200"/>
        <w:jc w:val="both"/>
        <w:textAlignment w:val="auto"/>
        <w:rPr>
          <w:rFonts w:hint="default"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（2）对新建或改造的一站式商业便民服务中心，给予最高60万元资金支持，支持内容包括店面装修、软硬件设备购置、首年租金等费用。</w:t>
      </w:r>
    </w:p>
    <w:p>
      <w:pPr>
        <w:keepNext w:val="0"/>
        <w:keepLines w:val="0"/>
        <w:pageBreakBefore w:val="0"/>
        <w:widowControl w:val="0"/>
        <w:kinsoku/>
        <w:wordWrap/>
        <w:overflowPunct/>
        <w:topLinePunct w:val="0"/>
        <w:autoSpaceDE/>
        <w:autoSpaceDN/>
        <w:bidi w:val="0"/>
        <w:spacing w:line="560" w:lineRule="exact"/>
        <w:ind w:leftChars="0" w:firstLine="640" w:firstLineChars="200"/>
        <w:jc w:val="both"/>
        <w:textAlignment w:val="auto"/>
        <w:rPr>
          <w:rFonts w:hint="eastAsia" w:ascii="仿宋_GB2312" w:hAnsi="仿宋_GB2312" w:eastAsia="仿宋_GB2312" w:cs="仿宋_GB2312"/>
          <w:b w:val="0"/>
          <w:bCs w:val="0"/>
          <w:i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①以基本保障类和品质提升类业态为主且经营面积不少于500㎡的新建或改造</w:t>
      </w:r>
      <w:r>
        <w:rPr>
          <w:rStyle w:val="20"/>
          <w:rFonts w:hint="eastAsia" w:ascii="仿宋_GB2312" w:hAnsi="仿宋_GB2312" w:eastAsia="仿宋_GB2312" w:cs="仿宋_GB2312"/>
          <w:bCs/>
          <w:color w:val="000000"/>
          <w:kern w:val="2"/>
          <w:sz w:val="32"/>
          <w:szCs w:val="32"/>
          <w:highlight w:val="none"/>
          <w:lang w:val="en-US" w:eastAsia="zh-CN" w:bidi="ar-SA"/>
        </w:rPr>
        <w:t>一站式商业便民服务中心</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，经营业态至少包含3类基本保障类业态（含早餐）和4类品质提升类业态，按照审定投资总额的10%给予资金支持，单个项目最高支持30万元。对重点区域具有补短板作用的项目</w:t>
      </w:r>
      <w:r>
        <w:rPr>
          <w:rFonts w:hint="eastAsia" w:ascii="仿宋_GB2312" w:hAnsi="仿宋_GB2312" w:eastAsia="仿宋_GB2312" w:cs="仿宋_GB2312"/>
          <w:b w:val="0"/>
          <w:bCs w:val="0"/>
          <w:i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，按照</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审定</w:t>
      </w:r>
      <w:r>
        <w:rPr>
          <w:rFonts w:hint="eastAsia" w:ascii="仿宋_GB2312" w:hAnsi="仿宋_GB2312" w:eastAsia="仿宋_GB2312" w:cs="仿宋_GB2312"/>
          <w:b w:val="0"/>
          <w:bCs w:val="0"/>
          <w:i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投资总额的20%给予资金支持，单个项目最高支持40万元。</w:t>
      </w:r>
    </w:p>
    <w:p>
      <w:pPr>
        <w:keepNext w:val="0"/>
        <w:keepLines w:val="0"/>
        <w:pageBreakBefore w:val="0"/>
        <w:widowControl w:val="0"/>
        <w:kinsoku/>
        <w:wordWrap/>
        <w:overflowPunct/>
        <w:topLinePunct w:val="0"/>
        <w:autoSpaceDE/>
        <w:autoSpaceDN/>
        <w:bidi w:val="0"/>
        <w:spacing w:line="560" w:lineRule="exact"/>
        <w:ind w:leftChars="0" w:firstLine="640" w:firstLineChars="200"/>
        <w:jc w:val="both"/>
        <w:textAlignment w:val="auto"/>
        <w:rPr>
          <w:rFonts w:hint="eastAsia" w:ascii="仿宋_GB2312" w:hAnsi="仿宋_GB2312" w:eastAsia="仿宋_GB2312" w:cs="仿宋_GB2312"/>
          <w:b w:val="0"/>
          <w:bCs w:val="0"/>
          <w:i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②以基本保障类和品质提升类业态为主且经营面积不少于500㎡的新建或改造</w:t>
      </w:r>
      <w:r>
        <w:rPr>
          <w:rStyle w:val="20"/>
          <w:rFonts w:hint="eastAsia" w:ascii="仿宋_GB2312" w:hAnsi="仿宋_GB2312" w:eastAsia="仿宋_GB2312" w:cs="仿宋_GB2312"/>
          <w:bCs/>
          <w:color w:val="000000"/>
          <w:kern w:val="2"/>
          <w:sz w:val="32"/>
          <w:szCs w:val="32"/>
          <w:highlight w:val="none"/>
          <w:lang w:val="en-US" w:eastAsia="zh-CN" w:bidi="ar-SA"/>
        </w:rPr>
        <w:t>一站式商业便民服务中心</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，经营业态至少包含4类基本保障类业态（含早餐和便民维修）和5类品质提升类业态，按照审定投资总额的10%给予资金支持，单个项目最高支持40万元。对重点区域具有补短板作用的项目</w:t>
      </w:r>
      <w:r>
        <w:rPr>
          <w:rFonts w:hint="eastAsia" w:ascii="仿宋_GB2312" w:hAnsi="仿宋_GB2312" w:eastAsia="仿宋_GB2312" w:cs="仿宋_GB2312"/>
          <w:b w:val="0"/>
          <w:bCs w:val="0"/>
          <w:i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，按照</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审定</w:t>
      </w:r>
      <w:r>
        <w:rPr>
          <w:rFonts w:hint="eastAsia" w:ascii="仿宋_GB2312" w:hAnsi="仿宋_GB2312" w:eastAsia="仿宋_GB2312" w:cs="仿宋_GB2312"/>
          <w:b w:val="0"/>
          <w:bCs w:val="0"/>
          <w:i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投资总额的20%给予资金支持，单个项目最高支持50万元。</w:t>
      </w:r>
    </w:p>
    <w:p>
      <w:pPr>
        <w:keepNext w:val="0"/>
        <w:keepLines w:val="0"/>
        <w:pageBreakBefore w:val="0"/>
        <w:widowControl w:val="0"/>
        <w:kinsoku/>
        <w:wordWrap/>
        <w:overflowPunct/>
        <w:topLinePunct w:val="0"/>
        <w:autoSpaceDE/>
        <w:autoSpaceDN/>
        <w:bidi w:val="0"/>
        <w:spacing w:line="560" w:lineRule="exact"/>
        <w:ind w:leftChars="0" w:firstLine="640" w:firstLineChars="200"/>
        <w:textAlignment w:val="auto"/>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③</w:t>
      </w:r>
      <w:r>
        <w:rPr>
          <w:rFonts w:hint="eastAsia" w:ascii="仿宋_GB2312" w:hAnsi="仿宋_GB2312" w:cs="仿宋_GB2312"/>
          <w:b w:val="0"/>
          <w:bCs w:val="0"/>
          <w:color w:val="000000" w:themeColor="text1"/>
          <w:kern w:val="2"/>
          <w:sz w:val="32"/>
          <w:szCs w:val="32"/>
          <w:highlight w:val="none"/>
          <w:lang w:val="en-US" w:eastAsia="zh-CN"/>
          <w14:textFill>
            <w14:solidFill>
              <w14:schemeClr w14:val="tx1"/>
            </w14:solidFill>
          </w14:textFill>
        </w:rPr>
        <w:t>以</w:t>
      </w:r>
      <w:r>
        <w:rPr>
          <w:rFonts w:hint="eastAsia" w:ascii="仿宋_GB2312" w:hAnsi="仿宋_GB2312" w:eastAsia="仿宋_GB2312" w:cs="仿宋_GB2312"/>
          <w:b w:val="0"/>
          <w:bCs w:val="0"/>
          <w:color w:val="000000" w:themeColor="text1"/>
          <w:kern w:val="2"/>
          <w:sz w:val="32"/>
          <w:szCs w:val="32"/>
          <w:highlight w:val="none"/>
          <w:lang w:val="en-US" w:eastAsia="zh-CN"/>
          <w14:textFill>
            <w14:solidFill>
              <w14:schemeClr w14:val="tx1"/>
            </w14:solidFill>
          </w14:textFill>
        </w:rPr>
        <w:t>基本保障类和</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品质提升类业态</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为主且经营面积不少于500㎡的新建或改造</w:t>
      </w:r>
      <w:r>
        <w:rPr>
          <w:rStyle w:val="20"/>
          <w:rFonts w:hint="eastAsia" w:ascii="仿宋_GB2312" w:hAnsi="仿宋_GB2312" w:eastAsia="仿宋_GB2312" w:cs="仿宋_GB2312"/>
          <w:bCs/>
          <w:color w:val="000000"/>
          <w:kern w:val="2"/>
          <w:sz w:val="32"/>
          <w:szCs w:val="32"/>
          <w:highlight w:val="none"/>
          <w:lang w:val="en-US" w:eastAsia="zh-CN" w:bidi="ar-SA"/>
        </w:rPr>
        <w:t>一站式商业便民服务中心</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经营业态至少包含5类</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基本保障类业态</w:t>
      </w:r>
      <w:r>
        <w:rPr>
          <w:rFonts w:hint="eastAsia" w:ascii="仿宋_GB2312" w:hAnsi="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含</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早餐和便民维修）</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和</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7类品质提升类业态</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按照</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审定</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投资</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总</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额的</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0%给予</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资金</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支持，单个项目最高支持</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50</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万元。</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对重点区域具有补短板作用的项目</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，按照</w:t>
      </w: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审定</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投资</w:t>
      </w:r>
      <w:r>
        <w:rPr>
          <w:rFonts w:hint="eastAsia" w:ascii="仿宋_GB2312" w:hAnsi="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总</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额的</w:t>
      </w:r>
      <w:r>
        <w:rPr>
          <w:rFonts w:hint="eastAsia" w:ascii="仿宋_GB2312" w:hAnsi="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2</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0%给予</w:t>
      </w:r>
      <w:r>
        <w:rPr>
          <w:rFonts w:hint="eastAsia" w:ascii="仿宋_GB2312" w:hAnsi="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资金</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支持，单个项目最高支持</w:t>
      </w:r>
      <w:r>
        <w:rPr>
          <w:rFonts w:hint="eastAsia" w:ascii="仿宋_GB2312" w:hAnsi="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60</w:t>
      </w:r>
      <w:r>
        <w:rPr>
          <w:rFonts w:hint="eastAsia" w:ascii="仿宋_GB2312" w:hAnsi="仿宋_GB2312" w:eastAsia="仿宋_GB2312" w:cs="仿宋_GB2312"/>
          <w:b w:val="0"/>
          <w:bCs w:val="0"/>
          <w:i w:val="0"/>
          <w:caps w:val="0"/>
          <w:color w:val="000000" w:themeColor="text1"/>
          <w:spacing w:val="0"/>
          <w:sz w:val="32"/>
          <w:szCs w:val="32"/>
          <w:highlight w:val="none"/>
          <w:shd w:val="clear" w:color="auto" w:fill="FFFFFF"/>
          <w:lang w:val="en-US" w:eastAsia="zh-CN"/>
          <w14:textFill>
            <w14:solidFill>
              <w14:schemeClr w14:val="tx1"/>
            </w14:solidFill>
          </w14:textFill>
        </w:rPr>
        <w:t>万元。</w:t>
      </w:r>
    </w:p>
    <w:p>
      <w:pPr>
        <w:keepNext w:val="0"/>
        <w:keepLines w:val="0"/>
        <w:pageBreakBefore w:val="0"/>
        <w:widowControl w:val="0"/>
        <w:kinsoku/>
        <w:wordWrap/>
        <w:overflowPunct/>
        <w:topLinePunct w:val="0"/>
        <w:autoSpaceDE/>
        <w:autoSpaceDN/>
        <w:bidi w:val="0"/>
        <w:spacing w:line="560" w:lineRule="exact"/>
        <w:ind w:leftChars="0" w:firstLine="640" w:firstLineChars="200"/>
        <w:textAlignment w:val="auto"/>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④</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对具备条件的便民商业网点搭载一类或多类基本保障类业态，参照新建社区基本便民商业网点项目给予支持。</w:t>
      </w:r>
    </w:p>
    <w:p>
      <w:pPr>
        <w:keepNext w:val="0"/>
        <w:keepLines w:val="0"/>
        <w:pageBreakBefore w:val="0"/>
        <w:numPr>
          <w:ilvl w:val="0"/>
          <w:numId w:val="0"/>
        </w:numPr>
        <w:kinsoku/>
        <w:wordWrap/>
        <w:overflowPunct/>
        <w:topLinePunct w:val="0"/>
        <w:autoSpaceDE/>
        <w:autoSpaceDN/>
        <w:bidi w:val="0"/>
        <w:spacing w:line="560" w:lineRule="exact"/>
        <w:ind w:left="0" w:leftChars="0" w:firstLine="643" w:firstLineChars="200"/>
        <w:textAlignment w:val="auto"/>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第八条  支持商务服务规模发展</w:t>
      </w:r>
    </w:p>
    <w:p>
      <w:pPr>
        <w:keepNext w:val="0"/>
        <w:keepLines w:val="0"/>
        <w:pageBreakBefore w:val="0"/>
        <w:kinsoku/>
        <w:wordWrap/>
        <w:overflowPunct/>
        <w:topLinePunct w:val="0"/>
        <w:autoSpaceDE/>
        <w:autoSpaceDN/>
        <w:bidi w:val="0"/>
        <w:snapToGrid/>
        <w:spacing w:line="560" w:lineRule="exact"/>
        <w:ind w:left="0" w:leftChars="0" w:firstLine="643" w:firstLineChars="200"/>
        <w:contextualSpacing/>
        <w:textAlignment w:val="auto"/>
        <w:outlineLvl w:val="2"/>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申报条件</w:t>
      </w:r>
    </w:p>
    <w:p>
      <w:pPr>
        <w:pStyle w:val="7"/>
        <w:keepNext w:val="0"/>
        <w:keepLines w:val="0"/>
        <w:pageBreakBefore w:val="0"/>
        <w:kinsoku/>
        <w:wordWrap/>
        <w:overflowPunct/>
        <w:topLinePunct w:val="0"/>
        <w:autoSpaceDE/>
        <w:autoSpaceDN/>
        <w:bidi w:val="0"/>
        <w:snapToGrid/>
        <w:spacing w:line="560" w:lineRule="exact"/>
        <w:ind w:left="0" w:leftChars="0" w:firstLine="640" w:firstLineChars="200"/>
        <w:contextualSpacing/>
        <w:textAlignment w:val="auto"/>
        <w:outlineLvl w:val="9"/>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pPr>
      <w:r>
        <w:rPr>
          <w:rFonts w:hint="eastAsia" w:ascii="仿宋_GB2312" w:hAnsi="仿宋_GB2312" w:cs="仿宋_GB2312"/>
          <w:color w:val="000000" w:themeColor="text1"/>
          <w:sz w:val="32"/>
          <w:szCs w:val="22"/>
          <w:highlight w:val="none"/>
          <w:lang w:val="en-US" w:eastAsia="zh-CN"/>
          <w14:textFill>
            <w14:solidFill>
              <w14:schemeClr w14:val="tx1"/>
            </w14:solidFill>
          </w14:textFill>
        </w:rPr>
        <w:t>租赁和</w:t>
      </w:r>
      <w:r>
        <w:rPr>
          <w:rFonts w:hint="eastAsia"/>
          <w:color w:val="000000" w:themeColor="text1"/>
          <w:highlight w:val="none"/>
          <w:lang w:eastAsia="zh-CN"/>
          <w14:textFill>
            <w14:solidFill>
              <w14:schemeClr w14:val="tx1"/>
            </w14:solidFill>
          </w14:textFill>
        </w:rPr>
        <w:t>商务服务业企业</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年</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营业收入达到</w:t>
      </w:r>
      <w:r>
        <w:rPr>
          <w:rFonts w:hint="eastAsia" w:ascii="仿宋_GB2312" w:hAnsi="仿宋_GB2312" w:cs="仿宋_GB2312"/>
          <w:color w:val="000000" w:themeColor="text1"/>
          <w:sz w:val="32"/>
          <w:szCs w:val="22"/>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亿元，且同比增速不低于</w:t>
      </w:r>
      <w:r>
        <w:rPr>
          <w:rFonts w:hint="eastAsia" w:ascii="仿宋_GB2312" w:hAnsi="仿宋_GB2312" w:cs="仿宋_GB2312"/>
          <w:color w:val="000000" w:themeColor="text1"/>
          <w:sz w:val="32"/>
          <w:szCs w:val="2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支持标准</w:t>
      </w:r>
    </w:p>
    <w:p>
      <w:pPr>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val="0"/>
          <w:bCs w:val="0"/>
          <w:color w:val="000000" w:themeColor="text1"/>
          <w:sz w:val="32"/>
          <w:szCs w:val="32"/>
          <w:highlight w:val="none"/>
          <w:lang w:val="en-US" w:eastAsia="zh-CN"/>
          <w14:textFill>
            <w14:solidFill>
              <w14:schemeClr w14:val="tx1"/>
            </w14:solidFill>
          </w14:textFill>
        </w:rPr>
        <w:t>对租赁和</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商务服务业企业，根据营业收入及增速，给予最高50万元资金支持。</w:t>
      </w:r>
    </w:p>
    <w:p>
      <w:pPr>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pPr>
      <w:r>
        <w:rPr>
          <w:rFonts w:hint="eastAsia" w:ascii="仿宋_GB2312" w:hAnsi="仿宋_GB2312" w:cs="仿宋_GB2312"/>
          <w:b w:val="0"/>
          <w:bCs w:val="0"/>
          <w:color w:val="000000" w:themeColor="text1"/>
          <w:kern w:val="2"/>
          <w:sz w:val="32"/>
          <w:szCs w:val="32"/>
          <w:highlight w:val="none"/>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年</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度</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营</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业</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收</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入</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在10（含）-</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0亿元的企业，同比增速不低于10%，给予</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0万元</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资金</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支持</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年</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度</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营</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业</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收</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入</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在</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0（含）</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-50亿元</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的企业，同比增速不低于</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8</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%，给予</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0万元</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资金</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支持</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spacing w:line="560" w:lineRule="exact"/>
        <w:ind w:leftChars="0" w:firstLine="640"/>
        <w:textAlignment w:val="auto"/>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cs="仿宋_GB2312"/>
          <w:color w:val="000000" w:themeColor="text1"/>
          <w:highlight w:val="none"/>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年度营业收入</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在</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50亿元</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（含）以上</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的企业</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同比增速</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不低于5</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%，给予</w:t>
      </w:r>
      <w:r>
        <w:rPr>
          <w:rFonts w:hint="eastAsia" w:ascii="仿宋_GB2312" w:hAnsi="仿宋_GB2312" w:cs="仿宋_GB2312"/>
          <w:b w:val="0"/>
          <w:bCs w:val="0"/>
          <w:color w:val="000000" w:themeColor="text1"/>
          <w:kern w:val="2"/>
          <w:sz w:val="32"/>
          <w:szCs w:val="22"/>
          <w:highlight w:val="none"/>
          <w:lang w:val="en-US" w:eastAsia="zh-CN" w:bidi="ar-SA"/>
          <w14:textFill>
            <w14:solidFill>
              <w14:schemeClr w14:val="tx1"/>
            </w14:solidFill>
          </w14:textFill>
        </w:rPr>
        <w:t>5</w:t>
      </w:r>
      <w:r>
        <w:rPr>
          <w:rFonts w:hint="eastAsia" w:ascii="仿宋_GB2312" w:hAnsi="仿宋_GB2312" w:eastAsia="仿宋_GB2312" w:cs="仿宋_GB2312"/>
          <w:b w:val="0"/>
          <w:bCs w:val="0"/>
          <w:color w:val="000000" w:themeColor="text1"/>
          <w:kern w:val="2"/>
          <w:sz w:val="32"/>
          <w:szCs w:val="22"/>
          <w:highlight w:val="none"/>
          <w:lang w:val="en-US" w:eastAsia="zh-CN" w:bidi="ar-SA"/>
          <w14:textFill>
            <w14:solidFill>
              <w14:schemeClr w14:val="tx1"/>
            </w14:solidFill>
          </w14:textFill>
        </w:rPr>
        <w:t>0万元资金支持。</w:t>
      </w:r>
    </w:p>
    <w:p>
      <w:pPr>
        <w:keepNext w:val="0"/>
        <w:keepLines w:val="0"/>
        <w:pageBreakBefore w:val="0"/>
        <w:numPr>
          <w:ilvl w:val="0"/>
          <w:numId w:val="1"/>
        </w:numPr>
        <w:kinsoku/>
        <w:wordWrap/>
        <w:overflowPunct/>
        <w:topLinePunct w:val="0"/>
        <w:autoSpaceDE/>
        <w:autoSpaceDN/>
        <w:bidi w:val="0"/>
        <w:spacing w:line="560" w:lineRule="exact"/>
        <w:ind w:left="0" w:leftChars="0" w:firstLine="643" w:firstLineChars="200"/>
        <w:textAlignment w:val="auto"/>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支持</w:t>
      </w:r>
      <w:r>
        <w:rPr>
          <w:rFonts w:hint="eastAsia" w:ascii="仿宋_GB2312" w:hAnsi="仿宋_GB2312" w:cs="仿宋_GB2312"/>
          <w:b/>
          <w:bCs/>
          <w:color w:val="000000" w:themeColor="text1"/>
          <w:sz w:val="32"/>
          <w:szCs w:val="32"/>
          <w:highlight w:val="none"/>
          <w:lang w:val="en-US" w:eastAsia="zh-CN"/>
          <w14:textFill>
            <w14:solidFill>
              <w14:schemeClr w14:val="tx1"/>
            </w14:solidFill>
          </w14:textFill>
        </w:rPr>
        <w:t>外商</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企业</w:t>
      </w:r>
      <w:r>
        <w:rPr>
          <w:rFonts w:hint="eastAsia" w:ascii="仿宋_GB2312" w:hAnsi="仿宋_GB2312" w:cs="仿宋_GB2312"/>
          <w:b/>
          <w:bCs/>
          <w:color w:val="000000" w:themeColor="text1"/>
          <w:sz w:val="32"/>
          <w:szCs w:val="32"/>
          <w:highlight w:val="none"/>
          <w:lang w:val="en-US" w:eastAsia="zh-CN"/>
          <w14:textFill>
            <w14:solidFill>
              <w14:schemeClr w14:val="tx1"/>
            </w14:solidFill>
          </w14:textFill>
        </w:rPr>
        <w:t>投资落地</w:t>
      </w:r>
    </w:p>
    <w:p>
      <w:pPr>
        <w:keepNext w:val="0"/>
        <w:keepLines w:val="0"/>
        <w:pageBreakBefore w:val="0"/>
        <w:kinsoku/>
        <w:wordWrap/>
        <w:overflowPunct/>
        <w:topLinePunct w:val="0"/>
        <w:autoSpaceDE/>
        <w:autoSpaceDN/>
        <w:bidi w:val="0"/>
        <w:snapToGrid/>
        <w:spacing w:line="560" w:lineRule="exact"/>
        <w:ind w:left="0" w:leftChars="0" w:firstLine="643" w:firstLineChars="200"/>
        <w:contextualSpacing/>
        <w:textAlignment w:val="auto"/>
        <w:outlineLvl w:val="9"/>
        <w:rPr>
          <w:rFonts w:hint="eastAsia" w:ascii="仿宋_GB2312" w:hAnsi="仿宋_GB2312" w:eastAsia="仿宋_GB2312" w:cs="仿宋_GB2312"/>
          <w:b/>
          <w:bCs/>
          <w:color w:val="000000" w:themeColor="text1"/>
          <w:sz w:val="32"/>
          <w:szCs w:val="22"/>
          <w:highlight w:val="none"/>
          <w:lang w:val="en-US" w:eastAsia="zh-CN"/>
          <w14:textFill>
            <w14:solidFill>
              <w14:schemeClr w14:val="tx1"/>
            </w14:solidFill>
          </w14:textFill>
        </w:rPr>
      </w:pPr>
      <w:r>
        <w:rPr>
          <w:rFonts w:hint="eastAsia" w:ascii="仿宋_GB2312" w:hAnsi="仿宋_GB2312" w:cs="仿宋_GB2312"/>
          <w:b/>
          <w:bCs/>
          <w:color w:val="000000" w:themeColor="text1"/>
          <w:sz w:val="32"/>
          <w:szCs w:val="22"/>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22"/>
          <w:highlight w:val="none"/>
          <w:lang w:val="en-US" w:eastAsia="zh-CN"/>
          <w14:textFill>
            <w14:solidFill>
              <w14:schemeClr w14:val="tx1"/>
            </w14:solidFill>
          </w14:textFill>
        </w:rPr>
        <w:t>申报条件</w:t>
      </w:r>
    </w:p>
    <w:p>
      <w:pPr>
        <w:keepNext w:val="0"/>
        <w:keepLines w:val="0"/>
        <w:pageBreakBefore w:val="0"/>
        <w:kinsoku/>
        <w:wordWrap/>
        <w:overflowPunct/>
        <w:topLinePunct w:val="0"/>
        <w:autoSpaceDE/>
        <w:autoSpaceDN/>
        <w:bidi w:val="0"/>
        <w:snapToGrid/>
        <w:spacing w:line="560" w:lineRule="exact"/>
        <w:ind w:left="0" w:leftChars="0" w:firstLine="640" w:firstLineChars="200"/>
        <w:contextualSpacing/>
        <w:textAlignment w:val="auto"/>
        <w:outlineLvl w:val="9"/>
        <w:rPr>
          <w:rFonts w:hint="eastAsia" w:ascii="仿宋_GB2312" w:hAnsi="仿宋_GB2312" w:eastAsia="仿宋_GB2312" w:cs="仿宋_GB2312"/>
          <w:color w:val="000000" w:themeColor="text1"/>
          <w:sz w:val="32"/>
          <w:szCs w:val="2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①</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外商投资企业</w:t>
      </w:r>
      <w:r>
        <w:rPr>
          <w:rFonts w:hint="eastAsia" w:ascii="仿宋_GB2312" w:hAnsi="仿宋_GB2312" w:cs="仿宋_GB2312"/>
          <w:b w:val="0"/>
          <w:bCs w:val="0"/>
          <w:color w:val="000000" w:themeColor="text1"/>
          <w:sz w:val="32"/>
          <w:szCs w:val="22"/>
          <w:highlight w:val="none"/>
          <w:lang w:eastAsia="zh-CN"/>
          <w14:textFill>
            <w14:solidFill>
              <w14:schemeClr w14:val="tx1"/>
            </w14:solidFill>
          </w14:textFill>
        </w:rPr>
        <w:t>，其年度内</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实缴合同外资总额</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为</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外方股东的投资</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实际到位金</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额</w:t>
      </w:r>
      <w:r>
        <w:rPr>
          <w:rFonts w:hint="eastAsia" w:ascii="仿宋_GB2312" w:hAnsi="仿宋_GB2312" w:cs="仿宋_GB2312"/>
          <w:b w:val="0"/>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以商务部门认定金额为准。</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②</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年度累计</w:t>
      </w:r>
      <w:r>
        <w:rPr>
          <w:rFonts w:hint="eastAsia" w:ascii="仿宋_GB2312" w:hAnsi="仿宋_GB2312" w:cs="仿宋_GB2312"/>
          <w:color w:val="000000" w:themeColor="text1"/>
          <w:szCs w:val="22"/>
          <w:highlight w:val="none"/>
          <w14:textFill>
            <w14:solidFill>
              <w14:schemeClr w14:val="tx1"/>
            </w14:solidFill>
          </w14:textFill>
        </w:rPr>
        <w:t>实缴合同外资总额</w:t>
      </w:r>
      <w:r>
        <w:rPr>
          <w:rFonts w:hint="eastAsia" w:ascii="仿宋_GB2312" w:hAnsi="仿宋_GB2312" w:eastAsia="仿宋_GB2312" w:cs="仿宋_GB2312"/>
          <w:color w:val="000000" w:themeColor="text1"/>
          <w:sz w:val="32"/>
          <w:szCs w:val="22"/>
          <w:highlight w:val="none"/>
          <w14:textFill>
            <w14:solidFill>
              <w14:schemeClr w14:val="tx1"/>
            </w14:solidFill>
          </w14:textFill>
        </w:rPr>
        <w:t>指企业在</w:t>
      </w:r>
      <w:r>
        <w:rPr>
          <w:rFonts w:hint="eastAsia" w:ascii="仿宋_GB2312" w:hAnsi="仿宋_GB2312" w:cs="仿宋_GB2312"/>
          <w:color w:val="000000" w:themeColor="text1"/>
          <w:sz w:val="32"/>
          <w:szCs w:val="22"/>
          <w:highlight w:val="none"/>
          <w:lang w:val="en-US" w:eastAsia="zh-CN"/>
          <w14:textFill>
            <w14:solidFill>
              <w14:schemeClr w14:val="tx1"/>
            </w14:solidFill>
          </w14:textFill>
        </w:rPr>
        <w:t>年</w:t>
      </w:r>
      <w:r>
        <w:rPr>
          <w:rFonts w:hint="eastAsia" w:ascii="仿宋_GB2312" w:hAnsi="仿宋_GB2312" w:eastAsia="仿宋_GB2312" w:cs="仿宋_GB2312"/>
          <w:color w:val="000000" w:themeColor="text1"/>
          <w:sz w:val="32"/>
          <w:szCs w:val="22"/>
          <w:highlight w:val="none"/>
          <w14:textFill>
            <w14:solidFill>
              <w14:schemeClr w14:val="tx1"/>
            </w14:solidFill>
          </w14:textFill>
        </w:rPr>
        <w:t>内以现金</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或</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通过利润再投资、外资并购支付对价、已登记外债转增注册资本等方式</w:t>
      </w:r>
      <w:r>
        <w:rPr>
          <w:rFonts w:hint="eastAsia" w:ascii="仿宋_GB2312" w:hAnsi="仿宋_GB2312" w:eastAsia="仿宋_GB2312" w:cs="仿宋_GB2312"/>
          <w:color w:val="000000" w:themeColor="text1"/>
          <w:sz w:val="32"/>
          <w:szCs w:val="22"/>
          <w:highlight w:val="none"/>
          <w14:textFill>
            <w14:solidFill>
              <w14:schemeClr w14:val="tx1"/>
            </w14:solidFill>
          </w14:textFill>
        </w:rPr>
        <w:t>到资的</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外方出资</w:t>
      </w:r>
      <w:r>
        <w:rPr>
          <w:rFonts w:hint="eastAsia" w:ascii="仿宋_GB2312" w:hAnsi="仿宋_GB2312" w:eastAsia="仿宋_GB2312" w:cs="仿宋_GB2312"/>
          <w:color w:val="000000" w:themeColor="text1"/>
          <w:sz w:val="32"/>
          <w:szCs w:val="22"/>
          <w:highlight w:val="none"/>
          <w14:textFill>
            <w14:solidFill>
              <w14:schemeClr w14:val="tx1"/>
            </w14:solidFill>
          </w14:textFill>
        </w:rPr>
        <w:t>，不含房地产，不含VIE架构投资、外方股东贷款、实物、技术等出资。</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③</w:t>
      </w:r>
      <w:r>
        <w:rPr>
          <w:rFonts w:hint="eastAsia" w:ascii="仿宋_GB2312" w:hAnsi="仿宋_GB2312" w:eastAsia="仿宋_GB2312" w:cs="仿宋_GB2312"/>
          <w:color w:val="000000" w:themeColor="text1"/>
          <w:sz w:val="32"/>
          <w:szCs w:val="22"/>
          <w:highlight w:val="none"/>
          <w14:textFill>
            <w14:solidFill>
              <w14:schemeClr w14:val="tx1"/>
            </w14:solidFill>
          </w14:textFill>
        </w:rPr>
        <w:t>同一外商投资主体在</w:t>
      </w:r>
      <w:r>
        <w:rPr>
          <w:rFonts w:hint="eastAsia" w:ascii="仿宋_GB2312" w:hAnsi="仿宋_GB2312" w:cs="仿宋_GB2312"/>
          <w:color w:val="000000" w:themeColor="text1"/>
          <w:sz w:val="32"/>
          <w:szCs w:val="22"/>
          <w:highlight w:val="none"/>
          <w:lang w:eastAsia="zh-CN"/>
          <w14:textFill>
            <w14:solidFill>
              <w14:schemeClr w14:val="tx1"/>
            </w14:solidFill>
          </w14:textFill>
        </w:rPr>
        <w:t>石景山区</w:t>
      </w:r>
      <w:r>
        <w:rPr>
          <w:rFonts w:hint="eastAsia" w:ascii="仿宋_GB2312" w:hAnsi="仿宋_GB2312" w:eastAsia="仿宋_GB2312" w:cs="仿宋_GB2312"/>
          <w:color w:val="000000" w:themeColor="text1"/>
          <w:sz w:val="32"/>
          <w:szCs w:val="22"/>
          <w:highlight w:val="none"/>
          <w14:textFill>
            <w14:solidFill>
              <w14:schemeClr w14:val="tx1"/>
            </w14:solidFill>
          </w14:textFill>
        </w:rPr>
        <w:t>投资的不同项目可视为一个项目，其年</w:t>
      </w:r>
      <w:r>
        <w:rPr>
          <w:rFonts w:hint="eastAsia" w:ascii="仿宋_GB2312" w:hAnsi="仿宋_GB2312" w:cs="仿宋_GB2312"/>
          <w:color w:val="000000" w:themeColor="text1"/>
          <w:szCs w:val="22"/>
          <w:highlight w:val="none"/>
          <w14:textFill>
            <w14:solidFill>
              <w14:schemeClr w14:val="tx1"/>
            </w14:solidFill>
          </w14:textFill>
        </w:rPr>
        <w:t>实缴合同外资总额</w:t>
      </w:r>
      <w:r>
        <w:rPr>
          <w:rFonts w:hint="eastAsia" w:ascii="仿宋_GB2312" w:hAnsi="仿宋_GB2312" w:eastAsia="仿宋_GB2312" w:cs="仿宋_GB2312"/>
          <w:color w:val="000000" w:themeColor="text1"/>
          <w:sz w:val="32"/>
          <w:szCs w:val="22"/>
          <w:highlight w:val="none"/>
          <w14:textFill>
            <w14:solidFill>
              <w14:schemeClr w14:val="tx1"/>
            </w14:solidFill>
          </w14:textFill>
        </w:rPr>
        <w:t>由该投资主体</w:t>
      </w:r>
      <w:r>
        <w:rPr>
          <w:rFonts w:hint="eastAsia" w:ascii="仿宋_GB2312" w:hAnsi="仿宋_GB2312" w:cs="仿宋_GB2312"/>
          <w:color w:val="000000" w:themeColor="text1"/>
          <w:sz w:val="32"/>
          <w:szCs w:val="22"/>
          <w:highlight w:val="none"/>
          <w:lang w:val="en-US" w:eastAsia="zh-CN"/>
          <w14:textFill>
            <w14:solidFill>
              <w14:schemeClr w14:val="tx1"/>
            </w14:solidFill>
          </w14:textFill>
        </w:rPr>
        <w:t>根据</w:t>
      </w:r>
      <w:r>
        <w:rPr>
          <w:rFonts w:hint="eastAsia" w:ascii="仿宋_GB2312" w:hAnsi="仿宋_GB2312" w:eastAsia="仿宋_GB2312" w:cs="仿宋_GB2312"/>
          <w:color w:val="000000" w:themeColor="text1"/>
          <w:sz w:val="32"/>
          <w:szCs w:val="22"/>
          <w:highlight w:val="none"/>
          <w14:textFill>
            <w14:solidFill>
              <w14:schemeClr w14:val="tx1"/>
            </w14:solidFill>
          </w14:textFill>
        </w:rPr>
        <w:t>不同项目当年</w:t>
      </w:r>
      <w:r>
        <w:rPr>
          <w:rFonts w:hint="eastAsia" w:ascii="仿宋_GB2312" w:hAnsi="仿宋_GB2312" w:cs="仿宋_GB2312"/>
          <w:color w:val="000000" w:themeColor="text1"/>
          <w:szCs w:val="22"/>
          <w:highlight w:val="none"/>
          <w14:textFill>
            <w14:solidFill>
              <w14:schemeClr w14:val="tx1"/>
            </w14:solidFill>
          </w14:textFill>
        </w:rPr>
        <w:t>实缴合同外资</w:t>
      </w:r>
      <w:r>
        <w:rPr>
          <w:rFonts w:hint="eastAsia" w:ascii="仿宋_GB2312" w:hAnsi="仿宋_GB2312" w:eastAsia="仿宋_GB2312" w:cs="仿宋_GB2312"/>
          <w:color w:val="000000" w:themeColor="text1"/>
          <w:sz w:val="32"/>
          <w:szCs w:val="22"/>
          <w:highlight w:val="none"/>
          <w14:textFill>
            <w14:solidFill>
              <w14:schemeClr w14:val="tx1"/>
            </w14:solidFill>
          </w14:textFill>
        </w:rPr>
        <w:t>加和计算，并由该投资主体选择其中一家在石景山区依法合规开展经营活动的企业作为奖励申报主体。</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cs="仿宋_GB2312"/>
          <w:b/>
          <w:bCs/>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支持标准</w:t>
      </w:r>
    </w:p>
    <w:p>
      <w:pPr>
        <w:keepNext w:val="0"/>
        <w:keepLines w:val="0"/>
        <w:pageBreakBefore w:val="0"/>
        <w:widowControl/>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对外商投资企业，经认定，根据实缴合同外资总额，给予最高500万元资金支持。</w:t>
      </w:r>
    </w:p>
    <w:p>
      <w:pPr>
        <w:keepNext w:val="0"/>
        <w:keepLines w:val="0"/>
        <w:pageBreakBefore w:val="0"/>
        <w:widowControl/>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pPr>
      <w:r>
        <w:rPr>
          <w:rFonts w:hint="eastAsia" w:ascii="仿宋_GB2312" w:hAnsi="仿宋_GB2312" w:cs="仿宋_GB2312"/>
          <w:color w:val="000000" w:themeColor="text1"/>
          <w:kern w:val="2"/>
          <w:sz w:val="32"/>
          <w:szCs w:val="32"/>
          <w:highlight w:val="none"/>
          <w:lang w:val="en-US" w:eastAsia="zh-CN" w:bidi="ar-SA"/>
          <w14:textFill>
            <w14:solidFill>
              <w14:schemeClr w14:val="tx1"/>
            </w14:solidFill>
          </w14:textFill>
        </w:rPr>
        <w:t>对</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外商投资企业，经认定，当年首次实缴合同外资总额200万（含）-500万美元的，</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按照实缴合同外资总额</w:t>
      </w:r>
      <w:r>
        <w:rPr>
          <w:rFonts w:hint="eastAsia" w:ascii="仿宋_GB2312" w:hAnsi="仿宋_GB2312" w:cs="仿宋_GB2312"/>
          <w:b w:val="0"/>
          <w:bCs w:val="0"/>
          <w:color w:val="000000" w:themeColor="text1"/>
          <w:sz w:val="32"/>
          <w:szCs w:val="22"/>
          <w:highlight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10%</w:t>
      </w:r>
      <w:r>
        <w:rPr>
          <w:rFonts w:hint="eastAsia" w:ascii="仿宋_GB2312" w:hAnsi="仿宋_GB2312" w:cs="仿宋_GB2312"/>
          <w:b w:val="0"/>
          <w:bCs w:val="0"/>
          <w:color w:val="000000" w:themeColor="text1"/>
          <w:sz w:val="32"/>
          <w:szCs w:val="22"/>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给予</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20万-50万元</w:t>
      </w:r>
      <w:r>
        <w:rPr>
          <w:rFonts w:hint="eastAsia" w:ascii="仿宋_GB2312" w:hAnsi="仿宋_GB2312" w:cs="仿宋_GB2312"/>
          <w:b w:val="0"/>
          <w:bCs w:val="0"/>
          <w:color w:val="000000" w:themeColor="text1"/>
          <w:sz w:val="32"/>
          <w:szCs w:val="22"/>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人民币</w:t>
      </w:r>
      <w:r>
        <w:rPr>
          <w:rFonts w:hint="eastAsia" w:ascii="仿宋_GB2312" w:hAnsi="仿宋_GB2312" w:cs="仿宋_GB2312"/>
          <w:b w:val="0"/>
          <w:bCs w:val="0"/>
          <w:color w:val="000000" w:themeColor="text1"/>
          <w:sz w:val="32"/>
          <w:szCs w:val="22"/>
          <w:highlight w:val="none"/>
          <w:lang w:val="en-US" w:eastAsia="zh-CN"/>
          <w14:textFill>
            <w14:solidFill>
              <w14:schemeClr w14:val="tx1"/>
            </w14:solidFill>
          </w14:textFill>
        </w:rPr>
        <w:t>）资金支持</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w:t>
      </w:r>
    </w:p>
    <w:p>
      <w:pPr>
        <w:ind w:firstLine="640"/>
        <w:contextualSpacing/>
        <w:outlineLvl w:val="9"/>
        <w:rPr>
          <w:rFonts w:hint="default"/>
          <w:highlight w:val="none"/>
          <w:lang w:val="en-US" w:eastAsia="zh-CN"/>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对在</w:t>
      </w:r>
      <w:r>
        <w:rPr>
          <w:rFonts w:hint="eastAsia" w:ascii="仿宋_GB2312" w:hAnsi="仿宋_GB2312" w:cs="仿宋_GB2312"/>
          <w:color w:val="000000" w:themeColor="text1"/>
          <w:kern w:val="2"/>
          <w:sz w:val="32"/>
          <w:szCs w:val="32"/>
          <w:highlight w:val="none"/>
          <w:lang w:val="en-US" w:eastAsia="zh-CN" w:bidi="ar-SA"/>
          <w14:textFill>
            <w14:solidFill>
              <w14:schemeClr w14:val="tx1"/>
            </w14:solidFill>
          </w14:textFill>
        </w:rPr>
        <w:t>石景山区</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实缴入资的外商投资企业（不含房地产，不含VIE架构投资、外方股东贷款、实物、技术等出资），经认定，年度累计</w:t>
      </w:r>
      <w:r>
        <w:rPr>
          <w:rFonts w:hint="eastAsia" w:ascii="仿宋_GB2312" w:hAnsi="仿宋_GB2312" w:cs="仿宋_GB2312"/>
          <w:color w:val="000000" w:themeColor="text1"/>
          <w:szCs w:val="32"/>
          <w:highlight w:val="none"/>
          <w14:textFill>
            <w14:solidFill>
              <w14:schemeClr w14:val="tx1"/>
            </w14:solidFill>
          </w14:textFill>
        </w:rPr>
        <w:t>实缴合同外资</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规模500万美元（含）以上的，可按实缴合同外资总额分档给予50万-500万元资金支持。企业通过利润再投资、外资并购支付对价、已登记外债转增注册资本等方式出资的，享受同等奖励支持。</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①</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对于年度累计</w:t>
      </w:r>
      <w:r>
        <w:rPr>
          <w:rFonts w:hint="eastAsia" w:ascii="仿宋_GB2312" w:hAnsi="仿宋_GB2312" w:cs="仿宋_GB2312"/>
          <w:color w:val="000000" w:themeColor="text1"/>
          <w:szCs w:val="22"/>
          <w:highlight w:val="none"/>
          <w14:textFill>
            <w14:solidFill>
              <w14:schemeClr w14:val="tx1"/>
            </w14:solidFill>
          </w14:textFill>
        </w:rPr>
        <w:t>实缴合同外资</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在5</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00万（含）</w:t>
      </w:r>
      <w:r>
        <w:rPr>
          <w:rFonts w:hint="eastAsia" w:ascii="仿宋_GB2312" w:hAnsi="仿宋_GB2312" w:cs="仿宋_GB2312"/>
          <w:b w:val="0"/>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000万美元</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之间</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的，给予</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50</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万元（人民币）资金支持</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；②</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对于年度累计</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实缴合同外资</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在1</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000万（含）</w:t>
      </w:r>
      <w:r>
        <w:rPr>
          <w:rFonts w:hint="eastAsia" w:ascii="仿宋_GB2312" w:hAnsi="仿宋_GB2312" w:cs="仿宋_GB2312"/>
          <w:b w:val="0"/>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000万美元</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之间</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的，给予</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0万元（人民币）资金支持</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；③</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对于年度累计</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实缴合同外资</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在2</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000万（含）</w:t>
      </w:r>
      <w:r>
        <w:rPr>
          <w:rFonts w:hint="eastAsia" w:ascii="仿宋_GB2312" w:hAnsi="仿宋_GB2312" w:cs="仿宋_GB2312"/>
          <w:b w:val="0"/>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000万美元</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之间</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的，给予</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7</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0万元（人民币）资金支持</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；④</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对于年度累计</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实缴合同外资</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在</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5000万（含）</w:t>
      </w:r>
      <w:r>
        <w:rPr>
          <w:rFonts w:hint="eastAsia" w:ascii="仿宋_GB2312" w:hAnsi="仿宋_GB2312" w:cs="仿宋_GB2312"/>
          <w:b w:val="0"/>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1亿美元</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之间</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的，给予100万元（人民币）资金支持</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；⑤</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对于年度累计</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实缴合同外资</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在</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1亿（含）</w:t>
      </w:r>
      <w:r>
        <w:rPr>
          <w:rFonts w:hint="eastAsia" w:ascii="仿宋_GB2312" w:hAnsi="仿宋_GB2312" w:cs="仿宋_GB2312"/>
          <w:b w:val="0"/>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5亿美元</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之间</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的，给予200万元（人民币）资金支持</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；⑥</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对于年度累计</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实缴合同外资</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在</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5亿（含）</w:t>
      </w:r>
      <w:r>
        <w:rPr>
          <w:rFonts w:hint="eastAsia" w:ascii="仿宋_GB2312" w:hAnsi="仿宋_GB2312" w:cs="仿宋_GB2312"/>
          <w:b w:val="0"/>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10亿美元</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之间</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的，给予300万元（人民币）资金支持</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；⑦</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对于年度累计</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实缴合同外资</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在</w:t>
      </w:r>
      <w:r>
        <w:rPr>
          <w:rFonts w:hint="eastAsia" w:ascii="仿宋_GB2312" w:hAnsi="仿宋_GB2312" w:eastAsia="仿宋_GB2312" w:cs="仿宋_GB2312"/>
          <w:b w:val="0"/>
          <w:bCs w:val="0"/>
          <w:color w:val="000000" w:themeColor="text1"/>
          <w:sz w:val="32"/>
          <w:szCs w:val="22"/>
          <w:highlight w:val="none"/>
          <w14:textFill>
            <w14:solidFill>
              <w14:schemeClr w14:val="tx1"/>
            </w14:solidFill>
          </w14:textFill>
        </w:rPr>
        <w:t>10亿美元（含）以上的，给予500万元（人民币）资金支持</w:t>
      </w:r>
      <w:r>
        <w:rPr>
          <w:rFonts w:hint="eastAsia" w:ascii="仿宋_GB2312" w:hAnsi="仿宋_GB2312" w:eastAsia="仿宋_GB2312" w:cs="仿宋_GB2312"/>
          <w:b w:val="0"/>
          <w:bCs w:val="0"/>
          <w:color w:val="000000" w:themeColor="text1"/>
          <w:sz w:val="32"/>
          <w:szCs w:val="22"/>
          <w:highlight w:val="none"/>
          <w:lang w:eastAsia="zh-CN"/>
          <w14:textFill>
            <w14:solidFill>
              <w14:schemeClr w14:val="tx1"/>
            </w14:solidFill>
          </w14:textFill>
        </w:rPr>
        <w:t>。</w:t>
      </w:r>
    </w:p>
    <w:sectPr>
      <w:footerReference r:id="rId5" w:type="default"/>
      <w:pgSz w:w="11906" w:h="16838"/>
      <w:pgMar w:top="2098" w:right="1474" w:bottom="1984" w:left="1587" w:header="851" w:footer="992"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9E77CA7D-9802-D170-86B4-15672DA50649}"/>
  </w:font>
  <w:font w:name="宋体">
    <w:altName w:val="汉仪书宋二KW"/>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5CB0F9DC-6E7A-6B3A-86B4-156755244C18}"/>
  </w:font>
  <w:font w:name="仿宋_GB2312">
    <w:altName w:val="方正仿宋_GBK"/>
    <w:panose1 w:val="02010609030101010101"/>
    <w:charset w:val="86"/>
    <w:family w:val="auto"/>
    <w:pitch w:val="default"/>
    <w:sig w:usb0="00000000" w:usb1="00000000" w:usb2="00000000" w:usb3="00000000" w:csb0="00040000" w:csb1="00000000"/>
  </w:font>
  <w:font w:name="楷体_GB2312">
    <w:altName w:val="汉仪楷体简"/>
    <w:panose1 w:val="0201060903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3" w:fontKey="{609B56AA-4CC7-90C7-86B4-15678381EF5F}"/>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Fonts w:hint="default" w:ascii="Times New Roman" w:hAnsi="Times New Roman" w:cs="Times New Roma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s0lY7tAAAAAFAQAADwAAAAAAAAABACAA&#10;AAA4AAAAZHJzL2Rvd25yZXYueG1sUEsBAhQAFAAAAAgAh07iQP8/A0c4AgAAbwQAAA4AAAAAAAAA&#10;AQAgAAAANQEAAGRycy9lMm9Eb2MueG1sUEsFBgAAAAAGAAYAWQEAAN8FAAAAAA==&#10;">
              <v:fill on="f" focussize="0,0"/>
              <v:stroke on="f" weight="0.5pt"/>
              <v:imagedata o:title=""/>
              <o:lock v:ext="edit" aspectratio="f"/>
              <v:textbox inset="0mm,0mm,0mm,0mm" style="mso-fit-shape-to-text:t;">
                <w:txbxContent>
                  <w:p>
                    <w:pPr>
                      <w:pStyle w:val="10"/>
                      <w:rPr>
                        <w:rFonts w:hint="default" w:ascii="Times New Roman" w:hAnsi="Times New Roman" w:cs="Times New Roma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D02892"/>
    <w:multiLevelType w:val="singleLevel"/>
    <w:tmpl w:val="D0D02892"/>
    <w:lvl w:ilvl="0" w:tentative="0">
      <w:start w:val="9"/>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lODdmODZlMzUxZDM1NDg2ODZkYjVlNmFkYmNlMTEifQ=="/>
  </w:docVars>
  <w:rsids>
    <w:rsidRoot w:val="3AAD2B9B"/>
    <w:rsid w:val="00710C22"/>
    <w:rsid w:val="007B6746"/>
    <w:rsid w:val="008C59BB"/>
    <w:rsid w:val="01B17747"/>
    <w:rsid w:val="02B96468"/>
    <w:rsid w:val="02C31EA5"/>
    <w:rsid w:val="02FF5E45"/>
    <w:rsid w:val="037A11E6"/>
    <w:rsid w:val="04E615B1"/>
    <w:rsid w:val="051527BB"/>
    <w:rsid w:val="05C3079D"/>
    <w:rsid w:val="05C8303D"/>
    <w:rsid w:val="060519C4"/>
    <w:rsid w:val="06302F88"/>
    <w:rsid w:val="066A7A79"/>
    <w:rsid w:val="06E72E78"/>
    <w:rsid w:val="075A4471"/>
    <w:rsid w:val="07DA0EAD"/>
    <w:rsid w:val="08030185"/>
    <w:rsid w:val="09AA0738"/>
    <w:rsid w:val="09E61AC9"/>
    <w:rsid w:val="0A2511DC"/>
    <w:rsid w:val="0A5A7EC9"/>
    <w:rsid w:val="0A701AAA"/>
    <w:rsid w:val="0B5331D2"/>
    <w:rsid w:val="0BFD606E"/>
    <w:rsid w:val="0C2139F1"/>
    <w:rsid w:val="0C857AB8"/>
    <w:rsid w:val="0D6B2E07"/>
    <w:rsid w:val="0DA25129"/>
    <w:rsid w:val="0E4F1A2E"/>
    <w:rsid w:val="0E545297"/>
    <w:rsid w:val="0E572FD9"/>
    <w:rsid w:val="0EC817E1"/>
    <w:rsid w:val="0ED36435"/>
    <w:rsid w:val="0F8676D2"/>
    <w:rsid w:val="0FD7617F"/>
    <w:rsid w:val="0FFAACBA"/>
    <w:rsid w:val="107B2FAF"/>
    <w:rsid w:val="10D9241B"/>
    <w:rsid w:val="1168401F"/>
    <w:rsid w:val="11D566EF"/>
    <w:rsid w:val="12B916EE"/>
    <w:rsid w:val="143E53B0"/>
    <w:rsid w:val="14787805"/>
    <w:rsid w:val="14852627"/>
    <w:rsid w:val="15BF5B8F"/>
    <w:rsid w:val="15F5F094"/>
    <w:rsid w:val="15FACB80"/>
    <w:rsid w:val="16BF2A53"/>
    <w:rsid w:val="175B1444"/>
    <w:rsid w:val="17B86896"/>
    <w:rsid w:val="17E04663"/>
    <w:rsid w:val="17E5627F"/>
    <w:rsid w:val="18194E5B"/>
    <w:rsid w:val="18AB1F57"/>
    <w:rsid w:val="18EB5CF7"/>
    <w:rsid w:val="191044B0"/>
    <w:rsid w:val="191F74E8"/>
    <w:rsid w:val="1A0D287D"/>
    <w:rsid w:val="1A4D0FFC"/>
    <w:rsid w:val="1B45D612"/>
    <w:rsid w:val="1B9FCA08"/>
    <w:rsid w:val="1D4D4592"/>
    <w:rsid w:val="1E394473"/>
    <w:rsid w:val="1E7533B5"/>
    <w:rsid w:val="1ED67C70"/>
    <w:rsid w:val="1F3C7DAD"/>
    <w:rsid w:val="1F7C635D"/>
    <w:rsid w:val="1FA70E01"/>
    <w:rsid w:val="20B024DA"/>
    <w:rsid w:val="20B971DB"/>
    <w:rsid w:val="20CF313C"/>
    <w:rsid w:val="21093CBF"/>
    <w:rsid w:val="21555156"/>
    <w:rsid w:val="21EC081F"/>
    <w:rsid w:val="226E4A9F"/>
    <w:rsid w:val="230E380E"/>
    <w:rsid w:val="231137D2"/>
    <w:rsid w:val="235A2EF8"/>
    <w:rsid w:val="243674C1"/>
    <w:rsid w:val="24462B0E"/>
    <w:rsid w:val="2535198D"/>
    <w:rsid w:val="25B06DFF"/>
    <w:rsid w:val="25BA1A2C"/>
    <w:rsid w:val="25EB42DB"/>
    <w:rsid w:val="26741936"/>
    <w:rsid w:val="26865DB2"/>
    <w:rsid w:val="270C275B"/>
    <w:rsid w:val="289F315B"/>
    <w:rsid w:val="28CE615A"/>
    <w:rsid w:val="28FD717F"/>
    <w:rsid w:val="2923055A"/>
    <w:rsid w:val="2973261D"/>
    <w:rsid w:val="2A7228D5"/>
    <w:rsid w:val="2ACF41CB"/>
    <w:rsid w:val="2BFB482B"/>
    <w:rsid w:val="2D667EAA"/>
    <w:rsid w:val="2D7FEFFF"/>
    <w:rsid w:val="2DECA111"/>
    <w:rsid w:val="2E0346E3"/>
    <w:rsid w:val="2F370591"/>
    <w:rsid w:val="2F54010C"/>
    <w:rsid w:val="2F6A4009"/>
    <w:rsid w:val="2F7D00C4"/>
    <w:rsid w:val="2F7E0903"/>
    <w:rsid w:val="30134B5A"/>
    <w:rsid w:val="30724B3D"/>
    <w:rsid w:val="308F2CCE"/>
    <w:rsid w:val="30CA064C"/>
    <w:rsid w:val="30D77936"/>
    <w:rsid w:val="30FD3114"/>
    <w:rsid w:val="31123B0C"/>
    <w:rsid w:val="312D1E6C"/>
    <w:rsid w:val="318F38D7"/>
    <w:rsid w:val="31CDB3F3"/>
    <w:rsid w:val="32A2551E"/>
    <w:rsid w:val="32A54325"/>
    <w:rsid w:val="33433342"/>
    <w:rsid w:val="342F5CDB"/>
    <w:rsid w:val="352F5D12"/>
    <w:rsid w:val="35D1731F"/>
    <w:rsid w:val="35F04FF6"/>
    <w:rsid w:val="36EADA99"/>
    <w:rsid w:val="37180CA8"/>
    <w:rsid w:val="375872F6"/>
    <w:rsid w:val="37833944"/>
    <w:rsid w:val="37F68447"/>
    <w:rsid w:val="38570BFA"/>
    <w:rsid w:val="38571D22"/>
    <w:rsid w:val="386C12AB"/>
    <w:rsid w:val="396E4BAF"/>
    <w:rsid w:val="39714789"/>
    <w:rsid w:val="39AE31FE"/>
    <w:rsid w:val="39F72DF7"/>
    <w:rsid w:val="3AAD2B9B"/>
    <w:rsid w:val="3ABF474D"/>
    <w:rsid w:val="3AE5EB87"/>
    <w:rsid w:val="3AFF6407"/>
    <w:rsid w:val="3B742225"/>
    <w:rsid w:val="3B764A35"/>
    <w:rsid w:val="3BBD157C"/>
    <w:rsid w:val="3BDF51CC"/>
    <w:rsid w:val="3BF53546"/>
    <w:rsid w:val="3C2A0ACA"/>
    <w:rsid w:val="3CDE7745"/>
    <w:rsid w:val="3D2008B6"/>
    <w:rsid w:val="3D492DE7"/>
    <w:rsid w:val="3D70143B"/>
    <w:rsid w:val="3E1703A3"/>
    <w:rsid w:val="3E46434D"/>
    <w:rsid w:val="3E7F2301"/>
    <w:rsid w:val="3E8F1850"/>
    <w:rsid w:val="3EF67B21"/>
    <w:rsid w:val="3F33766A"/>
    <w:rsid w:val="3F4ED7E5"/>
    <w:rsid w:val="3F553EB5"/>
    <w:rsid w:val="3F8C22E1"/>
    <w:rsid w:val="3F9F9D94"/>
    <w:rsid w:val="3FAC6EE1"/>
    <w:rsid w:val="3FB6A466"/>
    <w:rsid w:val="3FBF5946"/>
    <w:rsid w:val="3FF20746"/>
    <w:rsid w:val="3FFABEF4"/>
    <w:rsid w:val="3FFBA3CA"/>
    <w:rsid w:val="3FFD3A8E"/>
    <w:rsid w:val="3FFE1D51"/>
    <w:rsid w:val="400C2C55"/>
    <w:rsid w:val="404A1C51"/>
    <w:rsid w:val="421C1E3D"/>
    <w:rsid w:val="423A386E"/>
    <w:rsid w:val="43C95804"/>
    <w:rsid w:val="43DB7CBC"/>
    <w:rsid w:val="444A7FC7"/>
    <w:rsid w:val="4459136D"/>
    <w:rsid w:val="44D2767A"/>
    <w:rsid w:val="45703A5D"/>
    <w:rsid w:val="45B930E8"/>
    <w:rsid w:val="45BD33BC"/>
    <w:rsid w:val="45F2567C"/>
    <w:rsid w:val="46645C4B"/>
    <w:rsid w:val="467D28D5"/>
    <w:rsid w:val="469D30E7"/>
    <w:rsid w:val="46F9F295"/>
    <w:rsid w:val="47A6212E"/>
    <w:rsid w:val="47DB14E1"/>
    <w:rsid w:val="48814F83"/>
    <w:rsid w:val="48853CC3"/>
    <w:rsid w:val="492D1B2C"/>
    <w:rsid w:val="4A266DE0"/>
    <w:rsid w:val="4A851D59"/>
    <w:rsid w:val="4BA25894"/>
    <w:rsid w:val="4BAD6FCA"/>
    <w:rsid w:val="4BD67045"/>
    <w:rsid w:val="4BF609B4"/>
    <w:rsid w:val="4C235CCD"/>
    <w:rsid w:val="4D2F6FEB"/>
    <w:rsid w:val="4D353F29"/>
    <w:rsid w:val="4DA8648A"/>
    <w:rsid w:val="4EC019ED"/>
    <w:rsid w:val="4EC92B5C"/>
    <w:rsid w:val="4EE87ABC"/>
    <w:rsid w:val="4F1B0063"/>
    <w:rsid w:val="4F414C7D"/>
    <w:rsid w:val="4F7F0FDF"/>
    <w:rsid w:val="4FA3749F"/>
    <w:rsid w:val="4FE37C4D"/>
    <w:rsid w:val="4FFFEB69"/>
    <w:rsid w:val="5036477D"/>
    <w:rsid w:val="50526B81"/>
    <w:rsid w:val="508D5E0B"/>
    <w:rsid w:val="50AE7853"/>
    <w:rsid w:val="50D650BC"/>
    <w:rsid w:val="517D5E7F"/>
    <w:rsid w:val="51C1607A"/>
    <w:rsid w:val="524B4509"/>
    <w:rsid w:val="52BC6534"/>
    <w:rsid w:val="53A25729"/>
    <w:rsid w:val="53B4658F"/>
    <w:rsid w:val="53D8114B"/>
    <w:rsid w:val="54AD25D8"/>
    <w:rsid w:val="55256612"/>
    <w:rsid w:val="5587403A"/>
    <w:rsid w:val="559519EA"/>
    <w:rsid w:val="55E21D62"/>
    <w:rsid w:val="55E738C7"/>
    <w:rsid w:val="564231F4"/>
    <w:rsid w:val="56535401"/>
    <w:rsid w:val="56DA1902"/>
    <w:rsid w:val="571E77BD"/>
    <w:rsid w:val="575E47E9"/>
    <w:rsid w:val="577613A7"/>
    <w:rsid w:val="577EF11E"/>
    <w:rsid w:val="57A36150"/>
    <w:rsid w:val="57AF0272"/>
    <w:rsid w:val="57B570F2"/>
    <w:rsid w:val="581A15D8"/>
    <w:rsid w:val="584A091B"/>
    <w:rsid w:val="58B10000"/>
    <w:rsid w:val="5977A19F"/>
    <w:rsid w:val="59FD7ED5"/>
    <w:rsid w:val="5A112E8A"/>
    <w:rsid w:val="5A137381"/>
    <w:rsid w:val="5A1E4E32"/>
    <w:rsid w:val="5A3399C8"/>
    <w:rsid w:val="5A6C513C"/>
    <w:rsid w:val="5A7F1E3A"/>
    <w:rsid w:val="5B4D68C3"/>
    <w:rsid w:val="5B7F297F"/>
    <w:rsid w:val="5C08110C"/>
    <w:rsid w:val="5C3E1C4B"/>
    <w:rsid w:val="5CBE3C70"/>
    <w:rsid w:val="5CD1707F"/>
    <w:rsid w:val="5E413D91"/>
    <w:rsid w:val="5EE50743"/>
    <w:rsid w:val="5F096FA4"/>
    <w:rsid w:val="5F7EB958"/>
    <w:rsid w:val="5F7F4091"/>
    <w:rsid w:val="5F99635A"/>
    <w:rsid w:val="5FADC783"/>
    <w:rsid w:val="5FDF2D48"/>
    <w:rsid w:val="5FEFE27D"/>
    <w:rsid w:val="5FEFFE0F"/>
    <w:rsid w:val="5FF75B3B"/>
    <w:rsid w:val="5FFB190A"/>
    <w:rsid w:val="5FFB4370"/>
    <w:rsid w:val="5FFD54C1"/>
    <w:rsid w:val="60673F83"/>
    <w:rsid w:val="608A1A1F"/>
    <w:rsid w:val="60B66651"/>
    <w:rsid w:val="60F839E9"/>
    <w:rsid w:val="61A86601"/>
    <w:rsid w:val="6241228F"/>
    <w:rsid w:val="62FF1B81"/>
    <w:rsid w:val="635C769A"/>
    <w:rsid w:val="63AA54C8"/>
    <w:rsid w:val="64AA6B44"/>
    <w:rsid w:val="64EF959E"/>
    <w:rsid w:val="64F76BFB"/>
    <w:rsid w:val="65875416"/>
    <w:rsid w:val="659835CF"/>
    <w:rsid w:val="65BE4876"/>
    <w:rsid w:val="65ED46D2"/>
    <w:rsid w:val="65F24FD9"/>
    <w:rsid w:val="65FEDC6F"/>
    <w:rsid w:val="65FFEB33"/>
    <w:rsid w:val="665FA383"/>
    <w:rsid w:val="66882EA5"/>
    <w:rsid w:val="66B6356E"/>
    <w:rsid w:val="66F6CC2D"/>
    <w:rsid w:val="673FA959"/>
    <w:rsid w:val="67E95311"/>
    <w:rsid w:val="68180E35"/>
    <w:rsid w:val="683F3A37"/>
    <w:rsid w:val="6868412C"/>
    <w:rsid w:val="68BE4E30"/>
    <w:rsid w:val="6926370B"/>
    <w:rsid w:val="6A7F0FC9"/>
    <w:rsid w:val="6A935974"/>
    <w:rsid w:val="6AA35835"/>
    <w:rsid w:val="6B284F01"/>
    <w:rsid w:val="6B39476E"/>
    <w:rsid w:val="6BBF55A0"/>
    <w:rsid w:val="6BE7BF47"/>
    <w:rsid w:val="6BF16DF6"/>
    <w:rsid w:val="6C095BBA"/>
    <w:rsid w:val="6C2B3F7A"/>
    <w:rsid w:val="6CBFE759"/>
    <w:rsid w:val="6CFF23CB"/>
    <w:rsid w:val="6D801B81"/>
    <w:rsid w:val="6DE05374"/>
    <w:rsid w:val="6DF66112"/>
    <w:rsid w:val="6E241705"/>
    <w:rsid w:val="6EBF2155"/>
    <w:rsid w:val="6EF973AE"/>
    <w:rsid w:val="6F1F6397"/>
    <w:rsid w:val="6F3E6107"/>
    <w:rsid w:val="6F912DCA"/>
    <w:rsid w:val="6FA226EA"/>
    <w:rsid w:val="6FB7E4E3"/>
    <w:rsid w:val="6FBFD043"/>
    <w:rsid w:val="6FC63E53"/>
    <w:rsid w:val="6FDF21FC"/>
    <w:rsid w:val="6FFFDEC8"/>
    <w:rsid w:val="70025A76"/>
    <w:rsid w:val="7064689C"/>
    <w:rsid w:val="70B5428E"/>
    <w:rsid w:val="70BD5E1B"/>
    <w:rsid w:val="70CB230C"/>
    <w:rsid w:val="70E21403"/>
    <w:rsid w:val="713F0604"/>
    <w:rsid w:val="721B4BCD"/>
    <w:rsid w:val="727F33AE"/>
    <w:rsid w:val="728E34F8"/>
    <w:rsid w:val="72952BD1"/>
    <w:rsid w:val="72A526E9"/>
    <w:rsid w:val="72BB3CBA"/>
    <w:rsid w:val="73357A0F"/>
    <w:rsid w:val="73B7177C"/>
    <w:rsid w:val="74660B0E"/>
    <w:rsid w:val="746960C4"/>
    <w:rsid w:val="747B806F"/>
    <w:rsid w:val="75277663"/>
    <w:rsid w:val="756F04F7"/>
    <w:rsid w:val="75EFCED9"/>
    <w:rsid w:val="75FFAD0C"/>
    <w:rsid w:val="761F8975"/>
    <w:rsid w:val="77562203"/>
    <w:rsid w:val="778C4991"/>
    <w:rsid w:val="77D97AF8"/>
    <w:rsid w:val="77F7B321"/>
    <w:rsid w:val="77FB007F"/>
    <w:rsid w:val="78735C16"/>
    <w:rsid w:val="78EF290F"/>
    <w:rsid w:val="78FD2C1C"/>
    <w:rsid w:val="78FD6B2F"/>
    <w:rsid w:val="79117A7C"/>
    <w:rsid w:val="79BFF602"/>
    <w:rsid w:val="79DF5CD5"/>
    <w:rsid w:val="79DFC13D"/>
    <w:rsid w:val="79F7777B"/>
    <w:rsid w:val="7A3719BB"/>
    <w:rsid w:val="7A3758D0"/>
    <w:rsid w:val="7A5C7E0A"/>
    <w:rsid w:val="7ABB519F"/>
    <w:rsid w:val="7AD75FDD"/>
    <w:rsid w:val="7AE16E7F"/>
    <w:rsid w:val="7AFC07E8"/>
    <w:rsid w:val="7BAE6AB2"/>
    <w:rsid w:val="7BB2E598"/>
    <w:rsid w:val="7BB651C8"/>
    <w:rsid w:val="7BDE1CA8"/>
    <w:rsid w:val="7BF6DAE6"/>
    <w:rsid w:val="7BFDCA28"/>
    <w:rsid w:val="7BFE8FA6"/>
    <w:rsid w:val="7C30230D"/>
    <w:rsid w:val="7C774B75"/>
    <w:rsid w:val="7D2E5E07"/>
    <w:rsid w:val="7D4541EF"/>
    <w:rsid w:val="7D6B9DB3"/>
    <w:rsid w:val="7D9A3F5F"/>
    <w:rsid w:val="7DF70CCE"/>
    <w:rsid w:val="7DFCC8DC"/>
    <w:rsid w:val="7DFD9725"/>
    <w:rsid w:val="7DFF2B19"/>
    <w:rsid w:val="7DFFD826"/>
    <w:rsid w:val="7E373F01"/>
    <w:rsid w:val="7E5D4068"/>
    <w:rsid w:val="7E5E76C7"/>
    <w:rsid w:val="7E77D99E"/>
    <w:rsid w:val="7E7D1801"/>
    <w:rsid w:val="7E8B5E32"/>
    <w:rsid w:val="7E9532A5"/>
    <w:rsid w:val="7EB735F7"/>
    <w:rsid w:val="7EF34EDA"/>
    <w:rsid w:val="7F1E7399"/>
    <w:rsid w:val="7F7F69E1"/>
    <w:rsid w:val="7F7FF2A6"/>
    <w:rsid w:val="7FA2336F"/>
    <w:rsid w:val="7FAB435B"/>
    <w:rsid w:val="7FB7EE42"/>
    <w:rsid w:val="7FD36090"/>
    <w:rsid w:val="7FD4E50C"/>
    <w:rsid w:val="7FDBF59A"/>
    <w:rsid w:val="7FE508A7"/>
    <w:rsid w:val="7FEADBA5"/>
    <w:rsid w:val="7FEBF423"/>
    <w:rsid w:val="7FF7AC0E"/>
    <w:rsid w:val="7FF93F86"/>
    <w:rsid w:val="7FFBB60D"/>
    <w:rsid w:val="7FFDD7A1"/>
    <w:rsid w:val="7FFF1EEE"/>
    <w:rsid w:val="7FFFBFE8"/>
    <w:rsid w:val="8ADDB8C6"/>
    <w:rsid w:val="903516E8"/>
    <w:rsid w:val="9AE3BACA"/>
    <w:rsid w:val="9B6D81AF"/>
    <w:rsid w:val="9BFFCE20"/>
    <w:rsid w:val="9C5F62C8"/>
    <w:rsid w:val="9F7CC0C2"/>
    <w:rsid w:val="9F7FF78A"/>
    <w:rsid w:val="9FFEE4A7"/>
    <w:rsid w:val="AE69ED3C"/>
    <w:rsid w:val="AE6B9AE0"/>
    <w:rsid w:val="AEFF3313"/>
    <w:rsid w:val="AFDF8088"/>
    <w:rsid w:val="B1BF7CD6"/>
    <w:rsid w:val="B67F9819"/>
    <w:rsid w:val="B7E5C86D"/>
    <w:rsid w:val="B7EB23D0"/>
    <w:rsid w:val="B7ED4F9F"/>
    <w:rsid w:val="B8D70CC9"/>
    <w:rsid w:val="BA377385"/>
    <w:rsid w:val="BB7FC686"/>
    <w:rsid w:val="BD8367A7"/>
    <w:rsid w:val="BDF55BB1"/>
    <w:rsid w:val="BE7BCC48"/>
    <w:rsid w:val="BEDEFD41"/>
    <w:rsid w:val="BEFB69A2"/>
    <w:rsid w:val="BEFF9386"/>
    <w:rsid w:val="BF79D886"/>
    <w:rsid w:val="BF9DA85E"/>
    <w:rsid w:val="BFBEFC5B"/>
    <w:rsid w:val="BFEC0130"/>
    <w:rsid w:val="BFF9F244"/>
    <w:rsid w:val="BFFF994D"/>
    <w:rsid w:val="BFFFF797"/>
    <w:rsid w:val="C7FF022E"/>
    <w:rsid w:val="CBFF8656"/>
    <w:rsid w:val="CEA52489"/>
    <w:rsid w:val="CFDDC1AE"/>
    <w:rsid w:val="CFEDC119"/>
    <w:rsid w:val="D07F4D83"/>
    <w:rsid w:val="D59F6791"/>
    <w:rsid w:val="D67FE7E0"/>
    <w:rsid w:val="D6FE7D5A"/>
    <w:rsid w:val="D77B4E78"/>
    <w:rsid w:val="D7BF3524"/>
    <w:rsid w:val="D7FF6B8E"/>
    <w:rsid w:val="D9FED21B"/>
    <w:rsid w:val="DA6AED51"/>
    <w:rsid w:val="DB9DF3B7"/>
    <w:rsid w:val="DBAD58E6"/>
    <w:rsid w:val="DBAF9EAC"/>
    <w:rsid w:val="DC2FF449"/>
    <w:rsid w:val="DCF720F8"/>
    <w:rsid w:val="DCF8D4DA"/>
    <w:rsid w:val="DDD76C61"/>
    <w:rsid w:val="DDEDF162"/>
    <w:rsid w:val="DDF16CEC"/>
    <w:rsid w:val="DDFC509F"/>
    <w:rsid w:val="DDFE8DCF"/>
    <w:rsid w:val="DE67C1E2"/>
    <w:rsid w:val="DEDB5DF6"/>
    <w:rsid w:val="DEDFC6F4"/>
    <w:rsid w:val="DEFF93BB"/>
    <w:rsid w:val="DF6B2C49"/>
    <w:rsid w:val="DF8F16BE"/>
    <w:rsid w:val="DFB50A9C"/>
    <w:rsid w:val="DFC78CF5"/>
    <w:rsid w:val="DFCFE488"/>
    <w:rsid w:val="DFFE794C"/>
    <w:rsid w:val="DFFF2F81"/>
    <w:rsid w:val="E17EB66F"/>
    <w:rsid w:val="E27F0CF3"/>
    <w:rsid w:val="E3BF9603"/>
    <w:rsid w:val="E3DBDF1A"/>
    <w:rsid w:val="E5F77E30"/>
    <w:rsid w:val="E6FF1494"/>
    <w:rsid w:val="E77FA574"/>
    <w:rsid w:val="E78BAA61"/>
    <w:rsid w:val="EAFF3D34"/>
    <w:rsid w:val="EBF533DB"/>
    <w:rsid w:val="ECC5E14F"/>
    <w:rsid w:val="ED1A0F0C"/>
    <w:rsid w:val="EEA75AE9"/>
    <w:rsid w:val="EF2C3249"/>
    <w:rsid w:val="EF59AE36"/>
    <w:rsid w:val="EF6CDFFB"/>
    <w:rsid w:val="EFBFC9A0"/>
    <w:rsid w:val="EFFB585E"/>
    <w:rsid w:val="F3BF3B23"/>
    <w:rsid w:val="F4FF50F2"/>
    <w:rsid w:val="F57B2A8D"/>
    <w:rsid w:val="F5B702E8"/>
    <w:rsid w:val="F6FFC9AF"/>
    <w:rsid w:val="F707FFF8"/>
    <w:rsid w:val="F779F311"/>
    <w:rsid w:val="F78F81D1"/>
    <w:rsid w:val="F7B5845E"/>
    <w:rsid w:val="F7EE2E75"/>
    <w:rsid w:val="F9CFF0C1"/>
    <w:rsid w:val="F9DECE5D"/>
    <w:rsid w:val="F9F7DD9A"/>
    <w:rsid w:val="F9FE7647"/>
    <w:rsid w:val="FA6F6496"/>
    <w:rsid w:val="FADE7AFE"/>
    <w:rsid w:val="FAE7DF90"/>
    <w:rsid w:val="FAFF3C0A"/>
    <w:rsid w:val="FB7D72A4"/>
    <w:rsid w:val="FB7DCB7C"/>
    <w:rsid w:val="FB8F2853"/>
    <w:rsid w:val="FB9986EB"/>
    <w:rsid w:val="FBBD5576"/>
    <w:rsid w:val="FBDF1F70"/>
    <w:rsid w:val="FBE5021F"/>
    <w:rsid w:val="FD77DFFE"/>
    <w:rsid w:val="FDDF7D30"/>
    <w:rsid w:val="FDF2E9A0"/>
    <w:rsid w:val="FDFEA29F"/>
    <w:rsid w:val="FDFFF1D5"/>
    <w:rsid w:val="FE3B1D17"/>
    <w:rsid w:val="FE3B94D3"/>
    <w:rsid w:val="FE467FE7"/>
    <w:rsid w:val="FE5C7ED3"/>
    <w:rsid w:val="FEA7BBE7"/>
    <w:rsid w:val="FEBA4F14"/>
    <w:rsid w:val="FEDB54A2"/>
    <w:rsid w:val="FEED1C7C"/>
    <w:rsid w:val="FEEDCF3A"/>
    <w:rsid w:val="FEFD4E01"/>
    <w:rsid w:val="FF3CC038"/>
    <w:rsid w:val="FF3F1FB9"/>
    <w:rsid w:val="FF3F2D29"/>
    <w:rsid w:val="FF3F87CF"/>
    <w:rsid w:val="FF5C4065"/>
    <w:rsid w:val="FF676D62"/>
    <w:rsid w:val="FF6B02E4"/>
    <w:rsid w:val="FF752E76"/>
    <w:rsid w:val="FF774C5F"/>
    <w:rsid w:val="FF7FE6A8"/>
    <w:rsid w:val="FFB165A3"/>
    <w:rsid w:val="FFBEC5F8"/>
    <w:rsid w:val="FFCF0FA2"/>
    <w:rsid w:val="FFDFDA73"/>
    <w:rsid w:val="FFEE506C"/>
    <w:rsid w:val="FFFB6B6D"/>
    <w:rsid w:val="FFFB73B1"/>
    <w:rsid w:val="FFFBBDC6"/>
    <w:rsid w:val="FFFE0C4B"/>
    <w:rsid w:val="FFFE2636"/>
    <w:rsid w:val="FFFFA0EE"/>
    <w:rsid w:val="FFFFEA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00" w:firstLineChars="200"/>
      <w:jc w:val="both"/>
    </w:pPr>
    <w:rPr>
      <w:rFonts w:ascii="Calibri" w:hAnsi="Calibri" w:eastAsia="仿宋_GB2312" w:cs="Times New Roman"/>
      <w:kern w:val="2"/>
      <w:sz w:val="32"/>
      <w:szCs w:val="24"/>
      <w:lang w:val="en-US" w:eastAsia="zh-CN" w:bidi="ar-SA"/>
    </w:rPr>
  </w:style>
  <w:style w:type="paragraph" w:styleId="3">
    <w:name w:val="heading 1"/>
    <w:basedOn w:val="2"/>
    <w:next w:val="1"/>
    <w:qFormat/>
    <w:uiPriority w:val="0"/>
    <w:pPr>
      <w:keepNext w:val="0"/>
      <w:keepLines w:val="0"/>
      <w:spacing w:beforeLines="0" w:beforeAutospacing="0" w:afterLines="0" w:afterAutospacing="0" w:line="560" w:lineRule="exact"/>
      <w:ind w:firstLine="800" w:firstLineChars="200"/>
      <w:outlineLvl w:val="0"/>
    </w:pPr>
    <w:rPr>
      <w:rFonts w:ascii="Calibri" w:hAnsi="Calibri" w:eastAsia="黑体"/>
      <w:kern w:val="44"/>
      <w:sz w:val="32"/>
    </w:rPr>
  </w:style>
  <w:style w:type="paragraph" w:styleId="4">
    <w:name w:val="heading 2"/>
    <w:basedOn w:val="1"/>
    <w:next w:val="1"/>
    <w:unhideWhenUsed/>
    <w:qFormat/>
    <w:uiPriority w:val="0"/>
    <w:pPr>
      <w:keepNext w:val="0"/>
      <w:keepLines w:val="0"/>
      <w:spacing w:beforeLines="0" w:beforeAutospacing="0" w:afterLines="0" w:afterAutospacing="0" w:line="560" w:lineRule="exact"/>
      <w:ind w:firstLine="800" w:firstLineChars="200"/>
      <w:outlineLvl w:val="1"/>
    </w:pPr>
    <w:rPr>
      <w:rFonts w:ascii="Arial" w:hAnsi="Arial" w:eastAsia="楷体_GB2312"/>
    </w:rPr>
  </w:style>
  <w:style w:type="paragraph" w:styleId="5">
    <w:name w:val="heading 3"/>
    <w:basedOn w:val="1"/>
    <w:next w:val="1"/>
    <w:unhideWhenUsed/>
    <w:qFormat/>
    <w:uiPriority w:val="0"/>
    <w:pPr>
      <w:spacing w:before="240" w:after="120" w:line="400" w:lineRule="exact"/>
      <w:jc w:val="left"/>
      <w:outlineLvl w:val="2"/>
    </w:pPr>
    <w:rPr>
      <w:rFonts w:hint="eastAsia" w:ascii="黑体" w:hAnsi="黑体" w:eastAsia="黑体" w:cs="Times New Roman"/>
      <w:kern w:val="0"/>
      <w:sz w:val="26"/>
      <w:szCs w:val="27"/>
    </w:rPr>
  </w:style>
  <w:style w:type="paragraph" w:styleId="6">
    <w:name w:val="heading 6"/>
    <w:basedOn w:val="1"/>
    <w:next w:val="1"/>
    <w:qFormat/>
    <w:uiPriority w:val="0"/>
    <w:pPr>
      <w:keepNext/>
      <w:keepLines/>
      <w:spacing w:line="317" w:lineRule="auto"/>
      <w:outlineLvl w:val="5"/>
    </w:pPr>
    <w:rPr>
      <w:rFonts w:ascii="Arial" w:hAnsi="Arial" w:eastAsia="黑体"/>
      <w:b/>
      <w:bCs/>
      <w:sz w:val="24"/>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cs="Courier New"/>
      <w:szCs w:val="21"/>
    </w:rPr>
  </w:style>
  <w:style w:type="paragraph" w:styleId="7">
    <w:name w:val="annotation text"/>
    <w:unhideWhenUsed/>
    <w:qFormat/>
    <w:uiPriority w:val="99"/>
    <w:pPr>
      <w:widowControl w:val="0"/>
      <w:spacing w:line="360" w:lineRule="auto"/>
      <w:ind w:firstLine="200" w:firstLineChars="200"/>
      <w:jc w:val="left"/>
    </w:pPr>
    <w:rPr>
      <w:rFonts w:ascii="Calibri" w:hAnsi="Calibri" w:eastAsia="仿宋_GB2312" w:cs="Times New Roman"/>
      <w:kern w:val="2"/>
      <w:sz w:val="32"/>
      <w:szCs w:val="24"/>
      <w:lang w:val="en-US" w:eastAsia="zh-CN" w:bidi="ar-SA"/>
    </w:rPr>
  </w:style>
  <w:style w:type="paragraph" w:styleId="8">
    <w:name w:val="Body Text"/>
    <w:basedOn w:val="1"/>
    <w:unhideWhenUsed/>
    <w:qFormat/>
    <w:uiPriority w:val="99"/>
    <w:pPr>
      <w:spacing w:after="120"/>
    </w:pPr>
  </w:style>
  <w:style w:type="paragraph" w:styleId="9">
    <w:name w:val="Body Text Indent"/>
    <w:basedOn w:val="1"/>
    <w:qFormat/>
    <w:uiPriority w:val="0"/>
    <w:pPr>
      <w:spacing w:after="120"/>
      <w:ind w:left="420" w:leftChars="2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2">
    <w:name w:val="footnote text"/>
    <w:basedOn w:val="1"/>
    <w:qFormat/>
    <w:uiPriority w:val="0"/>
    <w:pPr>
      <w:snapToGrid w:val="0"/>
      <w:spacing w:line="240" w:lineRule="auto"/>
      <w:jc w:val="both"/>
    </w:pPr>
    <w:rPr>
      <w:rFonts w:ascii="Calibri" w:hAnsi="Calibri" w:eastAsia="宋体" w:cs="Times New Roman"/>
      <w:sz w:val="18"/>
      <w:szCs w:val="24"/>
    </w:rPr>
  </w:style>
  <w:style w:type="paragraph" w:styleId="13">
    <w:name w:val="Body Text 2"/>
    <w:qFormat/>
    <w:uiPriority w:val="0"/>
    <w:pPr>
      <w:widowControl w:val="0"/>
      <w:spacing w:after="120" w:line="480" w:lineRule="auto"/>
      <w:ind w:firstLine="200" w:firstLineChars="200"/>
      <w:jc w:val="both"/>
    </w:pPr>
    <w:rPr>
      <w:rFonts w:ascii="Calibri" w:hAnsi="Calibri" w:eastAsia="仿宋_GB2312" w:cs="Times New Roman"/>
      <w:kern w:val="2"/>
      <w:sz w:val="32"/>
      <w:szCs w:val="24"/>
      <w:lang w:val="en-US" w:eastAsia="zh-CN" w:bidi="ar-SA"/>
    </w:r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5">
    <w:name w:val="Body Text First Indent 2"/>
    <w:basedOn w:val="9"/>
    <w:qFormat/>
    <w:uiPriority w:val="0"/>
    <w:pPr>
      <w:ind w:firstLine="420"/>
    </w:pPr>
  </w:style>
  <w:style w:type="character" w:styleId="18">
    <w:name w:val="Strong"/>
    <w:basedOn w:val="17"/>
    <w:qFormat/>
    <w:uiPriority w:val="0"/>
    <w:rPr>
      <w:b/>
    </w:rPr>
  </w:style>
  <w:style w:type="character" w:styleId="19">
    <w:name w:val="Emphasis"/>
    <w:basedOn w:val="17"/>
    <w:qFormat/>
    <w:uiPriority w:val="0"/>
    <w:rPr>
      <w:i/>
    </w:rPr>
  </w:style>
  <w:style w:type="character" w:customStyle="1" w:styleId="2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6793</Words>
  <Characters>7092</Characters>
  <Lines>0</Lines>
  <Paragraphs>0</Paragraphs>
  <TotalTime>0</TotalTime>
  <ScaleCrop>false</ScaleCrop>
  <LinksUpToDate>false</LinksUpToDate>
  <CharactersWithSpaces>7131</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2022-04-12T01:22:00Z</dcterms:created>
  <dc:creator>龢</dc:creator>
  <cp:lastModifiedBy>Jing</cp:lastModifiedBy>
  <cp:lastPrinted>2024-10-17T15:26:00Z</cp:lastPrinted>
  <dcterms:modified xsi:type="dcterms:W3CDTF">2024-10-21T09:55:18Z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E37A9A4B6DCB24A286B41567DF7A08F6_43</vt:lpwstr>
  </property>
</Properties>
</file>