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rPr>
          <w:rFonts w:hint="eastAsia"/>
        </w:rPr>
      </w:pPr>
      <w:r>
        <w:rPr>
          <w:rFonts w:hint="eastAsia"/>
        </w:rPr>
        <w:t>工业和信息化部办公厅 国家卫生健康委办公厅关于开展2024年高端医疗装备推广</w:t>
      </w:r>
    </w:p>
    <w:p>
      <w:pPr>
        <w:pStyle w:val="4"/>
        <w:rPr>
          <w:rFonts w:hint="eastAsia"/>
        </w:rPr>
      </w:pPr>
      <w:r>
        <w:rPr>
          <w:rFonts w:hint="eastAsia"/>
        </w:rPr>
        <w:t>应用项目申报工作的通知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0"/>
        <w:jc w:val="both"/>
        <w:textAlignment w:val="auto"/>
        <w:rPr>
          <w:rFonts w:ascii="宋体" w:hAnsi="宋体" w:eastAsia="宋体" w:cs="宋体"/>
          <w:i w:val="0"/>
          <w:caps w:val="0"/>
          <w:color w:val="191C1D" w:themeColor="text1" w:themeShade="80"/>
          <w:spacing w:val="0"/>
          <w:sz w:val="24"/>
          <w:szCs w:val="2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i w:val="0"/>
          <w:iCs w:val="0"/>
          <w:color w:val="191C1D" w:themeColor="text1" w:themeShade="80"/>
          <w:spacing w:val="-6"/>
          <w:sz w:val="32"/>
          <w:szCs w:val="32"/>
        </w:rPr>
      </w:pPr>
      <w:r>
        <w:rPr>
          <w:rFonts w:hint="eastAsia" w:ascii="仿宋_GB2312" w:hAnsi="仿宋_GB2312" w:eastAsia="仿宋_GB2312" w:cs="仿宋_GB2312"/>
          <w:i w:val="0"/>
          <w:iCs w:val="0"/>
          <w:color w:val="191C1D" w:themeColor="text1" w:themeShade="80"/>
          <w:spacing w:val="-6"/>
          <w:sz w:val="32"/>
          <w:szCs w:val="32"/>
        </w:rPr>
        <w:t>各省、自治区、直辖市及计划单列市、新疆生产建设兵团工业和信息化、卫生健康主管部门：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0" w:firstLineChars="0"/>
        <w:jc w:val="both"/>
        <w:textAlignment w:val="auto"/>
        <w:rPr>
          <w:color w:val="191C1D" w:themeColor="text1" w:themeShade="80"/>
        </w:rPr>
      </w:pPr>
      <w:r>
        <w:rPr>
          <w:rFonts w:hint="eastAsia" w:cs="仿宋_GB2312"/>
          <w:i w:val="0"/>
          <w:iCs w:val="0"/>
          <w:color w:val="191C1D" w:themeColor="text1" w:themeShade="80"/>
          <w:spacing w:val="-6"/>
          <w:sz w:val="32"/>
          <w:szCs w:val="32"/>
          <w:lang w:val="en-US" w:eastAsia="zh-CN"/>
        </w:rPr>
        <w:t xml:space="preserve">    </w:t>
      </w:r>
      <w:r>
        <w:rPr>
          <w:rFonts w:hint="eastAsia" w:ascii="仿宋_GB2312" w:hAnsi="仿宋_GB2312" w:eastAsia="仿宋_GB2312" w:cs="仿宋_GB2312"/>
          <w:i w:val="0"/>
          <w:iCs w:val="0"/>
          <w:color w:val="191C1D" w:themeColor="text1" w:themeShade="80"/>
          <w:spacing w:val="-6"/>
          <w:sz w:val="32"/>
          <w:szCs w:val="32"/>
        </w:rPr>
        <w:t>为深入贯彻健康中国、制造强国战略部署，按照《“十四五”医疗装备产业发展规划》部署要求，加快推进高端医疗装备创新发展和推广应用，现就开展2024年度高端医疗装备推广应用项目申报工作有关事项通知如下：</w:t>
      </w:r>
    </w:p>
    <w:p>
      <w:pPr>
        <w:pStyle w:val="5"/>
        <w:pageBreakBefore w:val="0"/>
        <w:kinsoku/>
        <w:overflowPunct/>
        <w:topLinePunct w:val="0"/>
        <w:autoSpaceDE/>
        <w:autoSpaceDN/>
        <w:bidi w:val="0"/>
        <w:adjustRightInd/>
        <w:spacing w:line="560" w:lineRule="exact"/>
        <w:textAlignment w:val="auto"/>
        <w:rPr>
          <w:color w:val="191C1D" w:themeColor="text1" w:themeShade="80"/>
        </w:rPr>
      </w:pPr>
      <w:r>
        <w:rPr>
          <w:color w:val="191C1D" w:themeColor="text1" w:themeShade="80"/>
        </w:rPr>
        <w:t>一、推广应用项目重点方向</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color w:val="191C1D" w:themeColor="text1" w:themeShade="80"/>
        </w:rPr>
        <w:t>面向典型应用场景，遴选一批高端医疗装备技术创新与临床应用水平处于全国前列，对高端医疗装备医工协同创新、中试验证、临床研究、迭代升级与推广应用等具有较强引领带动作用的项目。本年度重点开展诊断检验、治疗、监护与生命支持、养老康复、人工智能辅助诊疗5个方向的高端医疗装备推广应用，具体产品见附件1。</w:t>
      </w:r>
    </w:p>
    <w:p>
      <w:pPr>
        <w:pStyle w:val="5"/>
        <w:pageBreakBefore w:val="0"/>
        <w:kinsoku/>
        <w:overflowPunct/>
        <w:topLinePunct w:val="0"/>
        <w:autoSpaceDE/>
        <w:autoSpaceDN/>
        <w:bidi w:val="0"/>
        <w:adjustRightInd/>
        <w:spacing w:line="560" w:lineRule="exact"/>
        <w:textAlignment w:val="auto"/>
        <w:rPr>
          <w:color w:val="191C1D" w:themeColor="text1" w:themeShade="80"/>
        </w:rPr>
      </w:pPr>
      <w:r>
        <w:rPr>
          <w:color w:val="191C1D" w:themeColor="text1" w:themeShade="80"/>
        </w:rPr>
        <w:t>二、申报条件</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（一）申报主体要求。</w:t>
      </w:r>
      <w:r>
        <w:rPr>
          <w:color w:val="191C1D" w:themeColor="text1" w:themeShade="80"/>
        </w:rPr>
        <w:t>原则上申报主体为牵头医疗装备生产企业、牵头医疗机构和参与医疗机构等组成的医工联合体，联合体内单位数量原则上不超过10个。</w:t>
      </w:r>
    </w:p>
    <w:p>
      <w:pPr>
        <w:pStyle w:val="2"/>
        <w:pageBreakBefore w:val="0"/>
        <w:kinsoku/>
        <w:overflowPunct/>
        <w:topLinePunct w:val="0"/>
        <w:autoSpaceDE/>
        <w:autoSpaceDN/>
        <w:bidi w:val="0"/>
        <w:adjustRightInd/>
        <w:spacing w:line="560" w:lineRule="exact"/>
        <w:textAlignment w:val="auto"/>
        <w:rPr>
          <w:color w:val="191C1D" w:themeColor="text1" w:themeShade="80"/>
        </w:rPr>
      </w:pP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（二）申报单位要求。</w:t>
      </w:r>
      <w:r>
        <w:rPr>
          <w:color w:val="191C1D" w:themeColor="text1" w:themeShade="80"/>
        </w:rPr>
        <w:t>医工联合体内所有单位须为在中华人民共和国境内注册，具有独立法人资格的企事业单位，近三年未发生重大安全、环保、质量等事故或医疗事故，没有司法、行政机关认定的违法失信行为或涉嫌违法正在接受审查等情况。牵头单位拥有较强的行业引领地位。每个单位最多牵头或参与申报3个不同产品的推广应用项目。同一单位在同一产品申报中参加2个及以上联合体的相关申报均视为无效。</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（三）申报产品要求。</w:t>
      </w:r>
      <w:r>
        <w:rPr>
          <w:color w:val="191C1D" w:themeColor="text1" w:themeShade="80"/>
        </w:rPr>
        <w:t>对所申报推广应用的高端医疗装备产品，牵头医疗装备生产企业须已取得中华人民共和国医疗器械注册证。</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（四）申报材料要求。</w:t>
      </w:r>
      <w:r>
        <w:rPr>
          <w:color w:val="191C1D" w:themeColor="text1" w:themeShade="80"/>
        </w:rPr>
        <w:t>申报材料及所附资质等应真实、合法，不得涉及国家秘密、商业秘密等内容。</w:t>
      </w:r>
    </w:p>
    <w:p>
      <w:pPr>
        <w:pStyle w:val="5"/>
        <w:pageBreakBefore w:val="0"/>
        <w:kinsoku/>
        <w:overflowPunct/>
        <w:topLinePunct w:val="0"/>
        <w:autoSpaceDE/>
        <w:autoSpaceDN/>
        <w:bidi w:val="0"/>
        <w:adjustRightInd/>
        <w:spacing w:line="560" w:lineRule="exact"/>
        <w:textAlignment w:val="auto"/>
        <w:rPr>
          <w:color w:val="191C1D" w:themeColor="text1" w:themeShade="80"/>
        </w:rPr>
      </w:pPr>
      <w:r>
        <w:rPr>
          <w:color w:val="191C1D" w:themeColor="text1" w:themeShade="80"/>
        </w:rPr>
        <w:t>三、推广应用要求</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（一）产品使用要求。</w:t>
      </w:r>
      <w:r>
        <w:rPr>
          <w:color w:val="191C1D" w:themeColor="text1" w:themeShade="80"/>
        </w:rPr>
        <w:t>在推广应用过程中，高端医疗装备的使用应符合《医疗器械监督管理条例》《医疗器械生产监督管理办法》和《医疗器械临床使用管理办法》等有关要求。</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（二）组织保障要求。</w:t>
      </w:r>
      <w:r>
        <w:rPr>
          <w:color w:val="191C1D" w:themeColor="text1" w:themeShade="80"/>
        </w:rPr>
        <w:t>医工联合体应建立较为完善的医疗装备研制生产、临床研究管理和资金保障体系，医疗机构重点保障高端医疗装备临床应用研究及推广的技术和环境条件；医疗装备生产企业重点保障高端医疗装备运行安全及改进提升的技术和软硬件条件。</w:t>
      </w:r>
    </w:p>
    <w:p>
      <w:pPr>
        <w:pStyle w:val="5"/>
        <w:pageBreakBefore w:val="0"/>
        <w:kinsoku/>
        <w:overflowPunct/>
        <w:topLinePunct w:val="0"/>
        <w:autoSpaceDE/>
        <w:autoSpaceDN/>
        <w:bidi w:val="0"/>
        <w:adjustRightInd/>
        <w:spacing w:line="560" w:lineRule="exact"/>
        <w:textAlignment w:val="auto"/>
        <w:rPr>
          <w:color w:val="191C1D" w:themeColor="text1" w:themeShade="80"/>
        </w:rPr>
      </w:pPr>
      <w:r>
        <w:rPr>
          <w:color w:val="191C1D" w:themeColor="text1" w:themeShade="80"/>
        </w:rPr>
        <w:t>四、工作程序</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（一）组织申报。</w:t>
      </w:r>
      <w:r>
        <w:rPr>
          <w:color w:val="191C1D" w:themeColor="text1" w:themeShade="80"/>
        </w:rPr>
        <w:t>各地工业和信息化、卫生健康主管部门组织符合条件的医疗装备生产企业、医疗机构，按照自愿原则组成医工联合体，编写申报材料（见附件2）。牵头单位对医工联合体内的参与单位资质和相关材料负责。</w:t>
      </w:r>
    </w:p>
    <w:p>
      <w:pPr>
        <w:pStyle w:val="2"/>
        <w:pageBreakBefore w:val="0"/>
        <w:kinsoku/>
        <w:overflowPunct/>
        <w:topLinePunct w:val="0"/>
        <w:autoSpaceDE/>
        <w:autoSpaceDN/>
        <w:bidi w:val="0"/>
        <w:adjustRightInd/>
        <w:spacing w:line="560" w:lineRule="exact"/>
        <w:textAlignment w:val="auto"/>
        <w:rPr>
          <w:color w:val="191C1D" w:themeColor="text1" w:themeShade="80"/>
        </w:rPr>
      </w:pPr>
      <w:r>
        <w:rPr>
          <w:rStyle w:val="15"/>
          <w:color w:val="191C1D" w:themeColor="text1" w:themeShade="80"/>
        </w:rPr>
        <w:t>（二）初审推荐。</w:t>
      </w:r>
      <w:r>
        <w:rPr>
          <w:color w:val="191C1D" w:themeColor="text1" w:themeShade="80"/>
        </w:rPr>
        <w:t>各地工业和信息化、卫生健康主管部门分别对牵头医疗装备生产企业、牵头医疗机构的资质和项目申报材料进行审查，并于2024年10月30日前将书面推荐函（附推荐汇总表，见附件3）、申报材料（纸质版、电子版各1份）分别报工业和信息化部（装备工业一司）、国家卫生健康委（规划发展与信息化司）。</w:t>
      </w:r>
    </w:p>
    <w:p>
      <w:pPr>
        <w:pStyle w:val="2"/>
        <w:pageBreakBefore w:val="0"/>
        <w:kinsoku/>
        <w:overflowPunct/>
        <w:topLinePunct w:val="0"/>
        <w:autoSpaceDE/>
        <w:autoSpaceDN/>
        <w:bidi w:val="0"/>
        <w:adjustRightInd/>
        <w:spacing w:line="560" w:lineRule="exact"/>
        <w:textAlignment w:val="auto"/>
        <w:rPr>
          <w:rFonts w:hint="eastAsia" w:eastAsia="仿宋_GB2312"/>
          <w:color w:val="191C1D" w:themeColor="text1" w:themeShade="80"/>
          <w:lang w:eastAsia="zh-CN"/>
        </w:rPr>
      </w:pPr>
      <w:r>
        <w:rPr>
          <w:rStyle w:val="15"/>
          <w:color w:val="191C1D" w:themeColor="text1" w:themeShade="80"/>
        </w:rPr>
        <w:t>（三）遴选认定。</w:t>
      </w:r>
      <w:r>
        <w:rPr>
          <w:color w:val="191C1D" w:themeColor="text1" w:themeShade="80"/>
        </w:rPr>
        <w:t>工业和信息化部、国家卫生健康委组织专家或第三方机构对推广应用项目申报材料进行评审，遴选并公布符合要求的推广应用项目名单。推广应用项目实施周期一般不超过3年。</w:t>
      </w:r>
    </w:p>
    <w:p>
      <w:pPr>
        <w:pStyle w:val="5"/>
        <w:pageBreakBefore w:val="0"/>
        <w:kinsoku/>
        <w:overflowPunct/>
        <w:topLinePunct w:val="0"/>
        <w:autoSpaceDE/>
        <w:autoSpaceDN/>
        <w:bidi w:val="0"/>
        <w:adjustRightInd/>
        <w:spacing w:line="560" w:lineRule="exact"/>
        <w:textAlignment w:val="auto"/>
        <w:rPr>
          <w:color w:val="191C1D" w:themeColor="text1" w:themeShade="80"/>
        </w:rPr>
      </w:pPr>
      <w:r>
        <w:rPr>
          <w:color w:val="191C1D" w:themeColor="text1" w:themeShade="80"/>
        </w:rPr>
        <w:t>五、联系人及电话</w:t>
      </w:r>
    </w:p>
    <w:p>
      <w:pPr>
        <w:pageBreakBefore w:val="0"/>
        <w:kinsoku/>
        <w:overflowPunct/>
        <w:topLinePunct w:val="0"/>
        <w:autoSpaceDE/>
        <w:autoSpaceDN/>
        <w:bidi w:val="0"/>
        <w:adjustRightInd/>
        <w:spacing w:line="560" w:lineRule="exact"/>
        <w:ind w:left="640" w:leftChars="200" w:firstLine="0" w:firstLineChars="0"/>
        <w:jc w:val="right"/>
        <w:textAlignment w:val="auto"/>
        <w:rPr>
          <w:color w:val="191C1D" w:themeColor="text1" w:themeShade="80"/>
        </w:rPr>
      </w:pPr>
      <w:r>
        <w:rPr>
          <w:color w:val="191C1D" w:themeColor="text1" w:themeShade="80"/>
          <w:spacing w:val="13"/>
        </w:rPr>
        <w:t>工业和信息化部装备工业一</w:t>
      </w:r>
      <w:r>
        <w:rPr>
          <w:color w:val="191C1D" w:themeColor="text1" w:themeShade="80"/>
          <w:spacing w:val="0"/>
        </w:rPr>
        <w:t>司</w:t>
      </w:r>
      <w:r>
        <w:rPr>
          <w:color w:val="191C1D" w:themeColor="text1" w:themeShade="80"/>
        </w:rPr>
        <w:t>　余敬秋　010－68205603</w:t>
      </w:r>
    </w:p>
    <w:p>
      <w:pPr>
        <w:pageBreakBefore w:val="0"/>
        <w:kinsoku/>
        <w:overflowPunct/>
        <w:topLinePunct w:val="0"/>
        <w:autoSpaceDE/>
        <w:autoSpaceDN/>
        <w:bidi w:val="0"/>
        <w:adjustRightInd/>
        <w:spacing w:line="560" w:lineRule="exact"/>
        <w:jc w:val="right"/>
        <w:textAlignment w:val="auto"/>
        <w:rPr>
          <w:color w:val="191C1D" w:themeColor="text1" w:themeShade="80"/>
        </w:rPr>
      </w:pPr>
      <w:r>
        <w:rPr>
          <w:color w:val="191C1D" w:themeColor="text1" w:themeShade="80"/>
          <w:spacing w:val="-20"/>
        </w:rPr>
        <w:t>国家卫生健康委规划发展与信息化司</w:t>
      </w:r>
      <w:r>
        <w:rPr>
          <w:color w:val="191C1D" w:themeColor="text1" w:themeShade="80"/>
        </w:rPr>
        <w:t>　刘乐</w:t>
      </w:r>
      <w:bookmarkStart w:id="0" w:name="_GoBack"/>
      <w:bookmarkEnd w:id="0"/>
      <w:r>
        <w:rPr>
          <w:color w:val="191C1D" w:themeColor="text1" w:themeShade="80"/>
        </w:rPr>
        <w:t>欣　010－68791230</w:t>
      </w:r>
    </w:p>
    <w:p>
      <w:pPr>
        <w:pStyle w:val="2"/>
        <w:pageBreakBefore w:val="0"/>
        <w:kinsoku/>
        <w:overflowPunct/>
        <w:topLinePunct w:val="0"/>
        <w:autoSpaceDE/>
        <w:autoSpaceDN/>
        <w:bidi w:val="0"/>
        <w:adjustRightInd/>
        <w:spacing w:line="560" w:lineRule="exact"/>
        <w:textAlignment w:val="auto"/>
        <w:rPr>
          <w:color w:val="191C1D" w:themeColor="text1" w:themeShade="80"/>
        </w:rPr>
      </w:pPr>
    </w:p>
    <w:p>
      <w:pPr>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191C1D" w:themeColor="text1" w:themeShade="80"/>
        </w:rPr>
      </w:pPr>
      <w:r>
        <w:rPr>
          <w:rFonts w:hint="eastAsia" w:ascii="仿宋_GB2312" w:hAnsi="仿宋_GB2312" w:eastAsia="仿宋_GB2312" w:cs="仿宋_GB2312"/>
          <w:color w:val="191C1D" w:themeColor="text1" w:themeShade="80"/>
        </w:rPr>
        <w:t>附件：1.</w:t>
      </w:r>
      <w:r>
        <w:rPr>
          <w:rFonts w:hint="eastAsia" w:ascii="仿宋_GB2312" w:hAnsi="仿宋_GB2312" w:eastAsia="仿宋_GB2312" w:cs="仿宋_GB2312"/>
          <w:color w:val="191C1D" w:themeColor="text1" w:themeShade="80"/>
        </w:rPr>
        <w:fldChar w:fldCharType="begin"/>
      </w:r>
      <w:r>
        <w:rPr>
          <w:rFonts w:hint="eastAsia" w:ascii="仿宋_GB2312" w:hAnsi="仿宋_GB2312" w:eastAsia="仿宋_GB2312" w:cs="仿宋_GB2312"/>
          <w:color w:val="191C1D" w:themeColor="text1" w:themeShade="80"/>
        </w:rPr>
        <w:instrText xml:space="preserve"> HYPERLINK "https://wap.miit.gov.cn/cms_files/filemanager/1226211233/attach/20249/8263e49b0f8f471eb01e88d7e6e02988.pdf" </w:instrText>
      </w:r>
      <w:r>
        <w:rPr>
          <w:rFonts w:hint="eastAsia" w:ascii="仿宋_GB2312" w:hAnsi="仿宋_GB2312" w:eastAsia="仿宋_GB2312" w:cs="仿宋_GB2312"/>
          <w:color w:val="191C1D" w:themeColor="text1" w:themeShade="80"/>
        </w:rPr>
        <w:fldChar w:fldCharType="separate"/>
      </w:r>
      <w:r>
        <w:rPr>
          <w:rStyle w:val="12"/>
          <w:rFonts w:hint="eastAsia" w:ascii="仿宋_GB2312" w:hAnsi="仿宋_GB2312" w:eastAsia="仿宋_GB2312" w:cs="仿宋_GB2312"/>
          <w:i w:val="0"/>
          <w:caps w:val="0"/>
          <w:color w:val="191C1D" w:themeColor="text1" w:themeShade="80"/>
          <w:spacing w:val="0"/>
          <w:szCs w:val="24"/>
          <w:u w:val="none"/>
        </w:rPr>
        <w:t>重点产品清单</w:t>
      </w:r>
      <w:r>
        <w:rPr>
          <w:rFonts w:hint="eastAsia" w:ascii="仿宋_GB2312" w:hAnsi="仿宋_GB2312" w:eastAsia="仿宋_GB2312" w:cs="仿宋_GB2312"/>
          <w:color w:val="191C1D" w:themeColor="text1" w:themeShade="80"/>
        </w:rPr>
        <w:fldChar w:fldCharType="end"/>
      </w:r>
    </w:p>
    <w:p>
      <w:pPr>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color w:val="191C1D" w:themeColor="text1" w:themeShade="80"/>
        </w:rPr>
      </w:pPr>
      <w:r>
        <w:rPr>
          <w:rFonts w:hint="eastAsia" w:ascii="仿宋_GB2312" w:hAnsi="仿宋_GB2312" w:eastAsia="仿宋_GB2312" w:cs="仿宋_GB2312"/>
          <w:color w:val="191C1D" w:themeColor="text1" w:themeShade="80"/>
        </w:rPr>
        <w:t>　　　2.</w:t>
      </w:r>
      <w:r>
        <w:rPr>
          <w:rFonts w:hint="eastAsia" w:ascii="仿宋_GB2312" w:hAnsi="仿宋_GB2312" w:eastAsia="仿宋_GB2312" w:cs="仿宋_GB2312"/>
          <w:color w:val="191C1D" w:themeColor="text1" w:themeShade="80"/>
        </w:rPr>
        <w:fldChar w:fldCharType="begin"/>
      </w:r>
      <w:r>
        <w:rPr>
          <w:rFonts w:hint="eastAsia" w:ascii="仿宋_GB2312" w:hAnsi="仿宋_GB2312" w:eastAsia="仿宋_GB2312" w:cs="仿宋_GB2312"/>
          <w:color w:val="191C1D" w:themeColor="text1" w:themeShade="80"/>
        </w:rPr>
        <w:instrText xml:space="preserve"> HYPERLINK "https://wap.miit.gov.cn/cms_files/filemanager/1226211233/attach/20249/f52773de72814cfc9b6a2106398b2d8a.doc" </w:instrText>
      </w:r>
      <w:r>
        <w:rPr>
          <w:rFonts w:hint="eastAsia" w:ascii="仿宋_GB2312" w:hAnsi="仿宋_GB2312" w:eastAsia="仿宋_GB2312" w:cs="仿宋_GB2312"/>
          <w:color w:val="191C1D" w:themeColor="text1" w:themeShade="80"/>
        </w:rPr>
        <w:fldChar w:fldCharType="separate"/>
      </w:r>
      <w:r>
        <w:rPr>
          <w:rStyle w:val="12"/>
          <w:rFonts w:hint="eastAsia" w:ascii="仿宋_GB2312" w:hAnsi="仿宋_GB2312" w:eastAsia="仿宋_GB2312" w:cs="仿宋_GB2312"/>
          <w:i w:val="0"/>
          <w:caps w:val="0"/>
          <w:color w:val="191C1D" w:themeColor="text1" w:themeShade="80"/>
          <w:spacing w:val="0"/>
          <w:szCs w:val="24"/>
          <w:u w:val="none"/>
        </w:rPr>
        <w:t>高端医疗装备推广应用项目申报书（模板）</w:t>
      </w:r>
      <w:r>
        <w:rPr>
          <w:rFonts w:hint="eastAsia" w:ascii="仿宋_GB2312" w:hAnsi="仿宋_GB2312" w:eastAsia="仿宋_GB2312" w:cs="仿宋_GB2312"/>
          <w:color w:val="191C1D" w:themeColor="text1" w:themeShade="80"/>
        </w:rPr>
        <w:fldChar w:fldCharType="end"/>
      </w:r>
    </w:p>
    <w:p>
      <w:pPr>
        <w:pageBreakBefore w:val="0"/>
        <w:kinsoku/>
        <w:overflowPunct/>
        <w:topLinePunct w:val="0"/>
        <w:autoSpaceDE/>
        <w:autoSpaceDN/>
        <w:bidi w:val="0"/>
        <w:adjustRightInd/>
        <w:spacing w:line="560" w:lineRule="exact"/>
        <w:textAlignment w:val="auto"/>
        <w:rPr>
          <w:color w:val="191C1D" w:themeColor="text1" w:themeShade="80"/>
        </w:rPr>
      </w:pPr>
      <w:r>
        <w:rPr>
          <w:rFonts w:hint="eastAsia" w:ascii="仿宋_GB2312" w:hAnsi="仿宋_GB2312" w:eastAsia="仿宋_GB2312" w:cs="仿宋_GB2312"/>
          <w:color w:val="191C1D" w:themeColor="text1" w:themeShade="80"/>
        </w:rPr>
        <w:t>　　　3.</w:t>
      </w:r>
      <w:r>
        <w:rPr>
          <w:rFonts w:hint="eastAsia" w:ascii="仿宋_GB2312" w:hAnsi="仿宋_GB2312" w:eastAsia="仿宋_GB2312" w:cs="仿宋_GB2312"/>
          <w:color w:val="191C1D" w:themeColor="text1" w:themeShade="80"/>
        </w:rPr>
        <w:fldChar w:fldCharType="begin"/>
      </w:r>
      <w:r>
        <w:rPr>
          <w:rFonts w:hint="eastAsia" w:ascii="仿宋_GB2312" w:hAnsi="仿宋_GB2312" w:eastAsia="仿宋_GB2312" w:cs="仿宋_GB2312"/>
          <w:color w:val="191C1D" w:themeColor="text1" w:themeShade="80"/>
        </w:rPr>
        <w:instrText xml:space="preserve"> HYPERLINK "https://wap.miit.gov.cn/cms_files/filemanager/1226211233/attach/20249/6e76f319f7d240a587c7713e8e36e7ef.doc" </w:instrText>
      </w:r>
      <w:r>
        <w:rPr>
          <w:rFonts w:hint="eastAsia" w:ascii="仿宋_GB2312" w:hAnsi="仿宋_GB2312" w:eastAsia="仿宋_GB2312" w:cs="仿宋_GB2312"/>
          <w:color w:val="191C1D" w:themeColor="text1" w:themeShade="80"/>
        </w:rPr>
        <w:fldChar w:fldCharType="separate"/>
      </w:r>
      <w:r>
        <w:rPr>
          <w:rStyle w:val="12"/>
          <w:rFonts w:hint="eastAsia" w:ascii="仿宋_GB2312" w:hAnsi="仿宋_GB2312" w:eastAsia="仿宋_GB2312" w:cs="仿宋_GB2312"/>
          <w:i w:val="0"/>
          <w:caps w:val="0"/>
          <w:color w:val="191C1D" w:themeColor="text1" w:themeShade="80"/>
          <w:spacing w:val="0"/>
          <w:szCs w:val="24"/>
          <w:u w:val="none"/>
        </w:rPr>
        <w:t>高端医疗装备推广应用项目推荐汇总表</w:t>
      </w:r>
      <w:r>
        <w:rPr>
          <w:rFonts w:hint="eastAsia" w:ascii="仿宋_GB2312" w:hAnsi="仿宋_GB2312" w:eastAsia="仿宋_GB2312" w:cs="仿宋_GB2312"/>
          <w:color w:val="191C1D" w:themeColor="text1" w:themeShade="80"/>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20"/>
        <w:jc w:val="left"/>
        <w:textAlignment w:val="auto"/>
        <w:rPr>
          <w:rFonts w:ascii="宋体" w:hAnsi="宋体" w:eastAsia="宋体" w:cs="宋体"/>
          <w:i w:val="0"/>
          <w:caps w:val="0"/>
          <w:color w:val="191C1D" w:themeColor="text1" w:themeShade="80"/>
          <w:spacing w:val="0"/>
          <w:sz w:val="24"/>
          <w:szCs w:val="2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20"/>
        <w:jc w:val="left"/>
        <w:textAlignment w:val="auto"/>
        <w:rPr>
          <w:rFonts w:ascii="宋体" w:hAnsi="宋体" w:eastAsia="宋体" w:cs="宋体"/>
          <w:i w:val="0"/>
          <w:caps w:val="0"/>
          <w:color w:val="191C1D" w:themeColor="text1" w:themeShade="80"/>
          <w:spacing w:val="0"/>
          <w:sz w:val="24"/>
          <w:szCs w:val="24"/>
        </w:rPr>
      </w:pPr>
    </w:p>
    <w:p>
      <w:pPr>
        <w:pageBreakBefore w:val="0"/>
        <w:kinsoku/>
        <w:overflowPunct/>
        <w:topLinePunct w:val="0"/>
        <w:autoSpaceDE/>
        <w:autoSpaceDN/>
        <w:bidi w:val="0"/>
        <w:adjustRightInd/>
        <w:spacing w:line="560" w:lineRule="exact"/>
        <w:jc w:val="right"/>
        <w:textAlignment w:val="auto"/>
        <w:rPr>
          <w:rFonts w:hint="eastAsia"/>
        </w:rPr>
      </w:pPr>
      <w:r>
        <w:rPr>
          <w:rFonts w:hint="eastAsia"/>
        </w:rPr>
        <w:t>工业和信息化部办公厅</w:t>
      </w:r>
    </w:p>
    <w:p>
      <w:pPr>
        <w:pageBreakBefore w:val="0"/>
        <w:kinsoku/>
        <w:overflowPunct/>
        <w:topLinePunct w:val="0"/>
        <w:autoSpaceDE/>
        <w:autoSpaceDN/>
        <w:bidi w:val="0"/>
        <w:adjustRightInd/>
        <w:spacing w:line="560" w:lineRule="exact"/>
        <w:jc w:val="right"/>
        <w:textAlignment w:val="auto"/>
        <w:rPr>
          <w:rFonts w:hint="eastAsia"/>
        </w:rPr>
      </w:pPr>
      <w:r>
        <w:rPr>
          <w:rFonts w:hint="eastAsia"/>
        </w:rPr>
        <w:t>国家卫生健康委办公厅</w:t>
      </w:r>
    </w:p>
    <w:p>
      <w:pPr>
        <w:pageBreakBefore w:val="0"/>
        <w:kinsoku/>
        <w:overflowPunct/>
        <w:topLinePunct w:val="0"/>
        <w:autoSpaceDE/>
        <w:autoSpaceDN/>
        <w:bidi w:val="0"/>
        <w:adjustRightInd/>
        <w:spacing w:line="560" w:lineRule="exact"/>
        <w:jc w:val="right"/>
        <w:textAlignment w:val="auto"/>
        <w:rPr>
          <w:rFonts w:hint="eastAsia"/>
        </w:rPr>
      </w:pPr>
      <w:r>
        <w:rPr>
          <w:rFonts w:hint="eastAsia"/>
        </w:rPr>
        <w:t>2024年9月25日</w:t>
      </w:r>
    </w:p>
    <w:p>
      <w:pPr>
        <w:jc w:val="right"/>
        <w:rPr>
          <w:rFonts w:hint="eastAsia"/>
        </w:rPr>
      </w:pP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93BA2"/>
    <w:rsid w:val="1DB91D1D"/>
    <w:rsid w:val="47B93BA2"/>
    <w:rsid w:val="53FBBA19"/>
    <w:rsid w:val="5B5DB45E"/>
    <w:rsid w:val="5FDF81E6"/>
    <w:rsid w:val="66ADB957"/>
    <w:rsid w:val="676F37B7"/>
    <w:rsid w:val="6FDE3257"/>
    <w:rsid w:val="7B2D2C10"/>
    <w:rsid w:val="7C7F1B23"/>
    <w:rsid w:val="7FEE28B6"/>
    <w:rsid w:val="BA7B23C6"/>
    <w:rsid w:val="BC707754"/>
    <w:rsid w:val="BDDF7B1E"/>
    <w:rsid w:val="CFFECF66"/>
    <w:rsid w:val="DEFFDB52"/>
    <w:rsid w:val="ECDB73C0"/>
    <w:rsid w:val="EF7A09B1"/>
    <w:rsid w:val="F9FFC14B"/>
    <w:rsid w:val="FDFFCAB2"/>
    <w:rsid w:val="FED827CE"/>
    <w:rsid w:val="FFFF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880" w:firstLineChars="200"/>
      <w:jc w:val="both"/>
    </w:pPr>
    <w:rPr>
      <w:rFonts w:ascii="仿宋_GB2312" w:hAnsi="仿宋_GB2312" w:eastAsia="仿宋_GB2312" w:cstheme="minorBidi"/>
      <w:kern w:val="2"/>
      <w:sz w:val="32"/>
      <w:szCs w:val="32"/>
      <w:lang w:val="en-US" w:eastAsia="zh-CN" w:bidi="ar-SA"/>
    </w:rPr>
  </w:style>
  <w:style w:type="paragraph" w:styleId="4">
    <w:name w:val="heading 1"/>
    <w:basedOn w:val="1"/>
    <w:next w:val="1"/>
    <w:qFormat/>
    <w:uiPriority w:val="0"/>
    <w:pPr>
      <w:spacing w:beforeAutospacing="0" w:afterAutospacing="0" w:line="560" w:lineRule="exact"/>
      <w:ind w:firstLine="0" w:firstLineChars="0"/>
      <w:jc w:val="center"/>
      <w:outlineLvl w:val="0"/>
    </w:pPr>
    <w:rPr>
      <w:rFonts w:hint="eastAsia" w:ascii="方正小标宋_GBK" w:hAnsi="方正小标宋_GBK" w:eastAsia="方正小标宋简体" w:cs="宋体"/>
      <w:kern w:val="44"/>
      <w:sz w:val="44"/>
      <w:szCs w:val="48"/>
      <w:lang w:bidi="ar"/>
    </w:rPr>
  </w:style>
  <w:style w:type="paragraph" w:styleId="5">
    <w:name w:val="heading 2"/>
    <w:basedOn w:val="1"/>
    <w:next w:val="1"/>
    <w:unhideWhenUsed/>
    <w:qFormat/>
    <w:uiPriority w:val="0"/>
    <w:pPr>
      <w:keepNext/>
      <w:keepLines/>
      <w:spacing w:beforeLines="0" w:beforeAutospacing="0" w:afterLines="0" w:afterAutospacing="0" w:line="560" w:lineRule="exact"/>
      <w:outlineLvl w:val="1"/>
    </w:pPr>
    <w:rPr>
      <w:rFonts w:ascii="黑体" w:hAnsi="黑体" w:eastAsia="黑体"/>
    </w:rPr>
  </w:style>
  <w:style w:type="paragraph" w:styleId="6">
    <w:name w:val="heading 3"/>
    <w:basedOn w:val="1"/>
    <w:next w:val="1"/>
    <w:link w:val="15"/>
    <w:semiHidden/>
    <w:unhideWhenUsed/>
    <w:qFormat/>
    <w:uiPriority w:val="0"/>
    <w:pPr>
      <w:keepNext/>
      <w:keepLines/>
      <w:spacing w:beforeLines="0" w:beforeAutospacing="0" w:afterLines="0" w:afterAutospacing="0" w:line="560" w:lineRule="exact"/>
      <w:outlineLvl w:val="2"/>
    </w:pPr>
    <w:rPr>
      <w:rFonts w:eastAsia="楷体_GB231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DejaVu Sans" w:hAnsi="DejaVu Sans" w:eastAsia="方正黑体_GBK"/>
      <w:b/>
      <w:sz w:val="28"/>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4">
    <w:name w:val="落款"/>
    <w:basedOn w:val="1"/>
    <w:qFormat/>
    <w:uiPriority w:val="0"/>
    <w:pPr>
      <w:ind w:right="640" w:rightChars="200" w:firstLine="0" w:firstLineChars="0"/>
      <w:jc w:val="right"/>
    </w:pPr>
  </w:style>
  <w:style w:type="character" w:customStyle="1" w:styleId="15">
    <w:name w:val="标题 3 Char"/>
    <w:link w:val="6"/>
    <w:qFormat/>
    <w:uiPriority w:val="0"/>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13739"/>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2024-10-12T02:52:00Z</dcterms:created>
  <dc:creator>王一凡</dc:creator>
  <cp:lastModifiedBy>王一凡</cp:lastModifiedBy>
  <dcterms:modified xsi:type="dcterms:W3CDTF">2024-10-12T14:32:39Z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