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outlineLvl w:val="0"/>
        <w:rPr>
          <w:rFonts w:hint="eastAsia" w:ascii="黑体" w:hAnsi="黑体" w:eastAsia="黑体" w:cs="黑体"/>
          <w:color w:val="333333"/>
          <w:spacing w:val="15"/>
          <w:kern w:val="0"/>
          <w:sz w:val="32"/>
          <w:szCs w:val="32"/>
          <w:shd w:val="clear" w:color="auto" w:fill="FFFFFF"/>
        </w:rPr>
      </w:pPr>
      <w:bookmarkStart w:id="0" w:name="_GoBack"/>
      <w:bookmarkEnd w:id="0"/>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p>
    <w:p>
      <w:pPr>
        <w:pStyle w:val="2"/>
        <w:adjustRightInd w:val="0"/>
        <w:snapToGrid w:val="0"/>
        <w:spacing w:after="0" w:line="560" w:lineRule="exact"/>
        <w:ind w:left="0" w:leftChars="0"/>
      </w:pPr>
    </w:p>
    <w:p>
      <w:pPr>
        <w:adjustRightInd w:val="0"/>
        <w:snapToGrid w:val="0"/>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新设高精尖产业企业实缴外资奖励</w:t>
      </w:r>
      <w:r>
        <w:rPr>
          <w:rFonts w:hint="eastAsia" w:ascii="方正小标宋简体" w:hAnsi="方正小标宋简体" w:eastAsia="方正小标宋简体" w:cs="方正小标宋简体"/>
          <w:sz w:val="44"/>
          <w:szCs w:val="44"/>
          <w:lang w:eastAsia="zh-CN"/>
        </w:rPr>
        <w:t>办事指南</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imes New Roman"/>
          <w:kern w:val="0"/>
          <w:sz w:val="32"/>
          <w:szCs w:val="32"/>
          <w:lang w:val="en-US" w:eastAsia="zh-CN" w:bidi="ar"/>
        </w:rPr>
        <w:t>《北京经济技术开发区关于支持外商投资企业高质量发展的若干政策》（京技管发〔2024〕13号）</w:t>
      </w:r>
      <w:r>
        <w:rPr>
          <w:rFonts w:hint="eastAsia" w:ascii="仿宋_GB2312" w:hAnsi="仿宋_GB2312" w:eastAsia="仿宋_GB2312" w:cs="仿宋_GB2312"/>
          <w:sz w:val="32"/>
          <w:szCs w:val="32"/>
          <w:lang w:eastAsia="zh-CN"/>
        </w:rPr>
        <w:t>中第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条第一款“支持高精尖产业外商投资企业发展。对外国投资者新设立的符合亦庄新城产业发展方向的高精尖产业外商投资企业，当年实缴合同外资总额在1,000万美元(或相同价值外币）及以上的，可按实缴合同外资总额的2.5%给予奖励，每家企业最高不超过3,000万元人民币。”</w:t>
      </w:r>
    </w:p>
    <w:p>
      <w:pPr>
        <w:adjustRightInd w:val="0"/>
        <w:snapToGrid w:val="0"/>
        <w:spacing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rPr>
        <w:t>二、事项</w:t>
      </w:r>
      <w:r>
        <w:rPr>
          <w:rFonts w:hint="eastAsia" w:ascii="黑体" w:hAnsi="黑体" w:eastAsia="黑体" w:cs="黑体"/>
          <w:sz w:val="32"/>
          <w:szCs w:val="32"/>
          <w:lang w:eastAsia="zh-CN"/>
        </w:rPr>
        <w:t>名称</w:t>
      </w:r>
    </w:p>
    <w:p>
      <w:pPr>
        <w:adjustRightInd w:val="0"/>
        <w:snapToGrid w:val="0"/>
        <w:spacing w:line="560" w:lineRule="exact"/>
        <w:ind w:firstLine="640" w:firstLineChars="200"/>
        <w:outlineLvl w:val="0"/>
        <w:rPr>
          <w:rFonts w:hint="eastAsia" w:ascii="黑体" w:hAnsi="黑体" w:eastAsia="黑体" w:cs="黑体"/>
          <w:bCs/>
          <w:color w:val="000000"/>
          <w:kern w:val="0"/>
          <w:sz w:val="32"/>
          <w:szCs w:val="32"/>
          <w:lang w:val="en-US" w:eastAsia="zh-CN"/>
        </w:rPr>
      </w:pPr>
      <w:r>
        <w:rPr>
          <w:rFonts w:hint="eastAsia" w:eastAsia="仿宋_GB2312" w:cs="仿宋_GB2312"/>
          <w:sz w:val="32"/>
          <w:szCs w:val="32"/>
          <w:lang w:val="en-US" w:eastAsia="zh-CN"/>
        </w:rPr>
        <w:t>新设高精尖产业企业实缴外资</w:t>
      </w:r>
      <w:r>
        <w:rPr>
          <w:rFonts w:hint="eastAsia" w:eastAsia="仿宋_GB2312" w:cs="仿宋_GB2312"/>
          <w:sz w:val="32"/>
          <w:szCs w:val="32"/>
        </w:rPr>
        <w:t>奖励</w:t>
      </w:r>
    </w:p>
    <w:p>
      <w:pPr>
        <w:adjustRightInd w:val="0"/>
        <w:snapToGrid w:val="0"/>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、支持内容及标准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b w:val="0"/>
          <w:bCs w:val="0"/>
          <w:sz w:val="32"/>
          <w:szCs w:val="32"/>
          <w:lang w:val="en-US" w:eastAsia="zh-CN"/>
        </w:rPr>
        <w:t>对外国投资者新设立的符合亦庄新城产业发展方向的高精尖产业外商投资企业，当年实缴合同外资总额在1,000万美元(或相同价值外币）及以上的，可按实缴合同外资总额的2.5%给予奖励，每家企业最高不超过3,000万元人民币</w:t>
      </w:r>
      <w:r>
        <w:rPr>
          <w:rFonts w:hint="eastAsia" w:ascii="仿宋_GB2312" w:hAnsi="仿宋_GB2312" w:eastAsia="仿宋_GB2312" w:cs="仿宋_GB2312"/>
          <w:color w:val="auto"/>
          <w:sz w:val="32"/>
          <w:szCs w:val="32"/>
          <w:highlight w:val="none"/>
          <w:lang w:eastAsia="zh-CN"/>
        </w:rPr>
        <w:t>；</w:t>
      </w:r>
    </w:p>
    <w:p>
      <w:pPr>
        <w:pStyle w:val="2"/>
        <w:adjustRightInd w:val="0"/>
        <w:snapToGrid w:val="0"/>
        <w:spacing w:after="0" w:line="560" w:lineRule="exact"/>
        <w:ind w:left="0" w:leftChars="0"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高精尖产业政策支持领域以《北京市十大高精尖产业登记指导目录(2018年版)》涉及产业领域为准，主要为：新一代信息技术（21小类）、集成电路（6小类）、医药健康（16小类）、智能装备（80小类）、节能环保（25小类）、新能源智能汽车（10小类）、新材料（15小类）、人工智能（6小类）、软件和信息服务（19小类）、科技服务（12小类）等领域。</w:t>
      </w:r>
    </w:p>
    <w:p>
      <w:pPr>
        <w:adjustRightInd w:val="0"/>
        <w:snapToGrid w:val="0"/>
        <w:spacing w:line="560" w:lineRule="exact"/>
        <w:ind w:left="0" w:leftChars="0" w:firstLine="640" w:firstLineChars="200"/>
        <w:rPr>
          <w:rFonts w:hint="eastAsia"/>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）奖励中实际利用外资以商务部纳统金额为依据，以外币实际到账国家外汇兑换率（FDI入账登记表中实际流入汇率）作为换算依据。</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、主责部门</w:t>
      </w:r>
    </w:p>
    <w:p>
      <w:pPr>
        <w:adjustRightInd w:val="0"/>
        <w:snapToGrid w:val="0"/>
        <w:spacing w:line="560" w:lineRule="exact"/>
        <w:ind w:firstLine="640" w:firstLineChars="200"/>
        <w:outlineLvl w:val="0"/>
        <w:rPr>
          <w:rFonts w:hint="eastAsia" w:eastAsia="仿宋_GB2312" w:cs="仿宋_GB2312"/>
          <w:sz w:val="32"/>
          <w:szCs w:val="32"/>
          <w:lang w:val="en-US" w:eastAsia="zh-CN"/>
        </w:rPr>
      </w:pPr>
      <w:r>
        <w:rPr>
          <w:rFonts w:hint="eastAsia" w:eastAsia="仿宋_GB2312" w:cs="仿宋_GB2312"/>
          <w:sz w:val="32"/>
          <w:szCs w:val="32"/>
          <w:lang w:val="en-US" w:eastAsia="zh-CN"/>
        </w:rPr>
        <w:t>北京经济技术开发区商务金融局</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、联系人及联系方式</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北京经济技术开发区商务金融局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徐景昭</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67869064</w:t>
      </w:r>
      <w:r>
        <w:rPr>
          <w:rFonts w:hint="eastAsia" w:ascii="仿宋_GB2312" w:hAnsi="仿宋_GB2312" w:eastAsia="仿宋_GB2312" w:cs="仿宋_GB2312"/>
          <w:sz w:val="32"/>
          <w:szCs w:val="32"/>
        </w:rPr>
        <w:t>，工作日上午9:00—12:00，下午2:00—6:00。</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、特别说明</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Tg4ZjQ5MzBkMTVhYTZhMmE4OTk0MWZiZWNhYjA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29F047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3927CD"/>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6B21D2"/>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995C85"/>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0F1CCF"/>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7E40BD"/>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5368EE"/>
    <w:rsid w:val="2CEC36C7"/>
    <w:rsid w:val="2D2A602F"/>
    <w:rsid w:val="2D6B0ED7"/>
    <w:rsid w:val="2D715293"/>
    <w:rsid w:val="2D7649D6"/>
    <w:rsid w:val="2DA064BD"/>
    <w:rsid w:val="2E236E07"/>
    <w:rsid w:val="2E2B3CCA"/>
    <w:rsid w:val="2E491136"/>
    <w:rsid w:val="2E8B047A"/>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A91D40"/>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9FE77D8"/>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3067D"/>
    <w:rsid w:val="3FD4707F"/>
    <w:rsid w:val="3FFD57FE"/>
    <w:rsid w:val="40945F74"/>
    <w:rsid w:val="409D6C96"/>
    <w:rsid w:val="40A50B34"/>
    <w:rsid w:val="40C0750A"/>
    <w:rsid w:val="40DB03F1"/>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48E1C9"/>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DF537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A11594"/>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076F6"/>
    <w:rsid w:val="67F973CE"/>
    <w:rsid w:val="6808097F"/>
    <w:rsid w:val="686076FC"/>
    <w:rsid w:val="686B491B"/>
    <w:rsid w:val="68E479A1"/>
    <w:rsid w:val="6A7C3B1B"/>
    <w:rsid w:val="6A9153AF"/>
    <w:rsid w:val="6A9A5399"/>
    <w:rsid w:val="6B3F3AAD"/>
    <w:rsid w:val="6B891093"/>
    <w:rsid w:val="6BA55CDC"/>
    <w:rsid w:val="6BC177C6"/>
    <w:rsid w:val="6BC37DD4"/>
    <w:rsid w:val="6C021C08"/>
    <w:rsid w:val="6C0A466E"/>
    <w:rsid w:val="6C1948F8"/>
    <w:rsid w:val="6C4D6808"/>
    <w:rsid w:val="6C59455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1C3308"/>
    <w:rsid w:val="76206188"/>
    <w:rsid w:val="767E6D89"/>
    <w:rsid w:val="768B48F5"/>
    <w:rsid w:val="76A32A08"/>
    <w:rsid w:val="76DD66F2"/>
    <w:rsid w:val="76EC6FC3"/>
    <w:rsid w:val="770B2702"/>
    <w:rsid w:val="7718563E"/>
    <w:rsid w:val="776A3F9A"/>
    <w:rsid w:val="77901978"/>
    <w:rsid w:val="77915027"/>
    <w:rsid w:val="779D4F4D"/>
    <w:rsid w:val="77CF1648"/>
    <w:rsid w:val="77DF07A8"/>
    <w:rsid w:val="781D2C7A"/>
    <w:rsid w:val="783A56AF"/>
    <w:rsid w:val="78413BD7"/>
    <w:rsid w:val="78742179"/>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B31C129"/>
    <w:rsid w:val="DD7E7DC7"/>
    <w:rsid w:val="DEF5E07B"/>
    <w:rsid w:val="E0B7827A"/>
    <w:rsid w:val="EFEEB9E2"/>
    <w:rsid w:val="F1DF8D3E"/>
    <w:rsid w:val="F5DBA8FA"/>
    <w:rsid w:val="F7FF78B5"/>
    <w:rsid w:val="FEDBE49E"/>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629</Words>
  <Characters>693</Characters>
  <Lines>11</Lines>
  <Paragraphs>3</Paragraphs>
  <TotalTime>5</TotalTime>
  <ScaleCrop>false</ScaleCrop>
  <LinksUpToDate>false</LinksUpToDate>
  <CharactersWithSpaces>693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BDA</cp:lastModifiedBy>
  <cp:lastPrinted>2020-03-23T11:03:00Z</cp:lastPrinted>
  <dcterms:modified xsi:type="dcterms:W3CDTF">2024-09-25T10:18:50Z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C7592566BB7941AB8C6EB0338EC4030E_13</vt:lpwstr>
  </property>
</Properties>
</file>