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pStyle w:val="2"/>
        <w:spacing w:line="560" w:lineRule="exact"/>
      </w:pPr>
    </w:p>
    <w:p>
      <w:pPr>
        <w:spacing w:line="560" w:lineRule="exact"/>
        <w:jc w:val="center"/>
        <w:textAlignment w:val="baseline"/>
        <w:outlineLvl w:val="0"/>
        <w:rPr>
          <w:rFonts w:ascii="方正小标宋简体" w:hAnsi="方正小标宋简体" w:eastAsia="方正小标宋简体" w:cs="方正小标宋简体"/>
          <w:color w:val="000000"/>
          <w:kern w:val="32"/>
          <w:sz w:val="44"/>
          <w:szCs w:val="44"/>
        </w:rPr>
      </w:pPr>
      <w:r>
        <w:rPr>
          <w:rFonts w:hint="eastAsia" w:ascii="方正小标宋简体" w:hAnsi="方正小标宋简体" w:eastAsia="方正小标宋简体" w:cs="方正小标宋简体"/>
          <w:color w:val="000000"/>
          <w:kern w:val="32"/>
          <w:sz w:val="44"/>
          <w:szCs w:val="44"/>
        </w:rPr>
        <w:t>昌平区关于跨境人民币结算的奖励办法</w:t>
      </w:r>
    </w:p>
    <w:p>
      <w:pPr>
        <w:spacing w:line="560" w:lineRule="exact"/>
        <w:jc w:val="center"/>
        <w:textAlignment w:val="baseline"/>
        <w:outlineLvl w:val="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征求意见</w:t>
      </w:r>
      <w:r>
        <w:rPr>
          <w:rFonts w:hint="eastAsia" w:ascii="仿宋_GB2312" w:hAnsi="仿宋_GB2312" w:eastAsia="仿宋_GB2312" w:cs="仿宋_GB2312"/>
          <w:bCs/>
          <w:kern w:val="0"/>
          <w:sz w:val="32"/>
          <w:szCs w:val="32"/>
        </w:rPr>
        <w:t>稿）</w:t>
      </w:r>
    </w:p>
    <w:p>
      <w:pPr>
        <w:spacing w:beforeLines="100" w:afterLines="100" w:line="560" w:lineRule="exact"/>
        <w:jc w:val="center"/>
        <w:rPr>
          <w:rFonts w:ascii="黑体" w:hAnsi="黑体" w:eastAsia="黑体" w:cs="黑体"/>
          <w:bCs/>
          <w:kern w:val="0"/>
          <w:sz w:val="32"/>
          <w:szCs w:val="32"/>
        </w:rPr>
      </w:pPr>
      <w:r>
        <w:rPr>
          <w:rFonts w:ascii="黑体" w:hAnsi="黑体" w:eastAsia="黑体" w:cs="黑体"/>
          <w:bCs/>
          <w:kern w:val="0"/>
          <w:sz w:val="32"/>
          <w:szCs w:val="32"/>
        </w:rPr>
        <w:t>第一章　总　则</w:t>
      </w:r>
    </w:p>
    <w:p>
      <w:pPr>
        <w:pStyle w:val="6"/>
        <w:widowControl/>
        <w:spacing w:before="225" w:beforeAutospacing="0" w:after="225" w:afterAutospacing="0" w:line="560" w:lineRule="exact"/>
        <w:ind w:firstLine="640" w:firstLineChars="200"/>
        <w:jc w:val="both"/>
        <w:rPr>
          <w:rFonts w:ascii="仿宋_GB2312" w:hAnsi="仿宋_GB2312" w:eastAsia="仿宋_GB2312" w:cs="仿宋_GB2312"/>
          <w:bCs/>
          <w:sz w:val="32"/>
          <w:szCs w:val="32"/>
        </w:rPr>
      </w:pPr>
      <w:r>
        <w:rPr>
          <w:rFonts w:ascii="黑体" w:hAnsi="黑体" w:eastAsia="黑体" w:cs="黑体"/>
          <w:kern w:val="2"/>
          <w:sz w:val="32"/>
          <w:szCs w:val="32"/>
        </w:rPr>
        <w:t>第一条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sz w:val="32"/>
          <w:szCs w:val="32"/>
        </w:rPr>
        <w:t>为贯彻落实党中央、国务院关于支持北京深化国家服务业扩大开放综合示范区建设的决策部署，推动</w:t>
      </w:r>
      <w:r>
        <w:rPr>
          <w:rFonts w:hint="eastAsia" w:ascii="仿宋_GB2312" w:hAnsi="仿宋_GB2312" w:eastAsia="仿宋_GB2312" w:cs="仿宋_GB2312"/>
          <w:bCs/>
          <w:sz w:val="32"/>
          <w:szCs w:val="32"/>
        </w:rPr>
        <w:t>《关于支持中关村国家自主创新示范区开展高水平科技自立自强先行先试改革的若干措施》《北京市中关村国家自主创新示范区建设科创金融改革试验区总体方案》</w:t>
      </w:r>
      <w:r>
        <w:rPr>
          <w:rFonts w:hint="eastAsia" w:ascii="仿宋_GB2312" w:hAnsi="仿宋_GB2312" w:eastAsia="仿宋_GB2312" w:cs="仿宋_GB2312"/>
          <w:kern w:val="2"/>
          <w:sz w:val="32"/>
        </w:rPr>
        <w:t>《支持北京深化国家服务业扩大开放综合示范区建设工作方案》政策落实落细，按照《中共北京市市委金融委员会2024年工作要点》，</w:t>
      </w:r>
      <w:r>
        <w:rPr>
          <w:rFonts w:hint="eastAsia" w:ascii="仿宋_GB2312" w:hAnsi="仿宋_GB2312" w:eastAsia="仿宋_GB2312" w:cs="仿宋_GB2312"/>
          <w:sz w:val="32"/>
          <w:szCs w:val="32"/>
        </w:rPr>
        <w:t>不断完善跨境人民币金融服务体系，稳慎扎实推进人民币跨境使用，促进服务业高水平开放、高质量发展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立足昌平区发展实际，</w:t>
      </w:r>
      <w:r>
        <w:rPr>
          <w:rFonts w:ascii="仿宋_GB2312" w:hAnsi="仿宋_GB2312" w:eastAsia="仿宋_GB2312" w:cs="仿宋_GB2312"/>
          <w:bCs/>
          <w:sz w:val="32"/>
          <w:szCs w:val="32"/>
        </w:rPr>
        <w:t>特制定本</w:t>
      </w:r>
      <w:r>
        <w:rPr>
          <w:rFonts w:hint="eastAsia" w:ascii="仿宋_GB2312" w:hAnsi="仿宋_GB2312" w:eastAsia="仿宋_GB2312" w:cs="仿宋_GB2312"/>
          <w:bCs/>
          <w:sz w:val="32"/>
          <w:szCs w:val="32"/>
        </w:rPr>
        <w:t>办法</w:t>
      </w:r>
      <w:r>
        <w:rPr>
          <w:rFonts w:ascii="仿宋_GB2312" w:hAnsi="仿宋_GB2312" w:eastAsia="仿宋_GB2312" w:cs="仿宋_GB2312"/>
          <w:bCs/>
          <w:sz w:val="32"/>
          <w:szCs w:val="32"/>
        </w:rPr>
        <w:t>。</w:t>
      </w:r>
    </w:p>
    <w:p>
      <w:pPr>
        <w:spacing w:beforeLines="100" w:afterLines="100" w:line="560" w:lineRule="exact"/>
        <w:jc w:val="center"/>
        <w:rPr>
          <w:rFonts w:ascii="黑体" w:hAnsi="黑体" w:eastAsia="黑体" w:cs="黑体"/>
          <w:bCs/>
          <w:kern w:val="0"/>
          <w:sz w:val="32"/>
          <w:szCs w:val="32"/>
        </w:rPr>
      </w:pPr>
      <w:r>
        <w:rPr>
          <w:rFonts w:ascii="黑体" w:hAnsi="黑体" w:eastAsia="黑体" w:cs="黑体"/>
          <w:bCs/>
          <w:kern w:val="0"/>
          <w:sz w:val="32"/>
          <w:szCs w:val="32"/>
        </w:rPr>
        <w:t>第</w:t>
      </w:r>
      <w:r>
        <w:rPr>
          <w:rFonts w:hint="eastAsia" w:ascii="黑体" w:hAnsi="黑体" w:eastAsia="黑体" w:cs="黑体"/>
          <w:bCs/>
          <w:kern w:val="0"/>
          <w:sz w:val="32"/>
          <w:szCs w:val="32"/>
        </w:rPr>
        <w:t>二</w:t>
      </w:r>
      <w:r>
        <w:rPr>
          <w:rFonts w:ascii="黑体" w:hAnsi="黑体" w:eastAsia="黑体" w:cs="黑体"/>
          <w:bCs/>
          <w:kern w:val="0"/>
          <w:sz w:val="32"/>
          <w:szCs w:val="32"/>
        </w:rPr>
        <w:t>章　鼓励企业扩大经常项目跨境人民币使用</w:t>
      </w:r>
    </w:p>
    <w:p>
      <w:pPr>
        <w:spacing w:beforeLines="100" w:afterLines="100" w:line="560" w:lineRule="exact"/>
        <w:ind w:firstLine="640" w:firstLineChars="200"/>
        <w:rPr>
          <w:rFonts w:ascii="仿宋_GB2312" w:hAnsi="仿宋_GB2312" w:eastAsia="仿宋_GB2312" w:cs="仿宋_GB2312"/>
          <w:bCs/>
          <w:kern w:val="0"/>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对中国(北京)自由贸易试验区科技创新片区昌平组团内（以下简称“</w:t>
      </w:r>
      <w:r>
        <w:rPr>
          <w:rFonts w:hint="eastAsia" w:ascii="仿宋_GB2312" w:hAnsi="仿宋_GB2312" w:eastAsia="仿宋_GB2312" w:cs="仿宋_GB2312"/>
          <w:bCs/>
          <w:kern w:val="0"/>
          <w:sz w:val="32"/>
          <w:szCs w:val="32"/>
        </w:rPr>
        <w:t>北京</w:t>
      </w:r>
      <w:r>
        <w:rPr>
          <w:rFonts w:ascii="仿宋_GB2312" w:hAnsi="仿宋_GB2312" w:eastAsia="仿宋_GB2312" w:cs="仿宋_GB2312"/>
          <w:bCs/>
          <w:kern w:val="0"/>
          <w:sz w:val="32"/>
          <w:szCs w:val="32"/>
        </w:rPr>
        <w:t>自贸片区</w:t>
      </w:r>
      <w:r>
        <w:rPr>
          <w:rFonts w:hint="eastAsia" w:ascii="仿宋_GB2312" w:hAnsi="仿宋_GB2312" w:eastAsia="仿宋_GB2312" w:cs="仿宋_GB2312"/>
          <w:bCs/>
          <w:kern w:val="0"/>
          <w:sz w:val="32"/>
          <w:szCs w:val="32"/>
        </w:rPr>
        <w:t>昌平组团</w:t>
      </w:r>
      <w:r>
        <w:rPr>
          <w:rFonts w:ascii="仿宋_GB2312" w:hAnsi="仿宋_GB2312" w:eastAsia="仿宋_GB2312" w:cs="仿宋_GB2312"/>
          <w:bCs/>
          <w:kern w:val="0"/>
          <w:sz w:val="32"/>
          <w:szCs w:val="32"/>
        </w:rPr>
        <w:t>”）企业跨境人民币结算金额较上一年度增加2000万元及以上的，按增量金额的0.1%给予奖励，单家企业每年最高奖励不超过</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万元。</w:t>
      </w:r>
    </w:p>
    <w:p>
      <w:pPr>
        <w:spacing w:beforeLines="100" w:afterLines="100" w:line="560" w:lineRule="exact"/>
        <w:ind w:firstLine="640" w:firstLineChars="200"/>
        <w:rPr>
          <w:rFonts w:ascii="仿宋_GB2312" w:hAnsi="仿宋_GB2312" w:eastAsia="仿宋_GB2312" w:cs="仿宋_GB2312"/>
          <w:bCs/>
          <w:kern w:val="0"/>
          <w:sz w:val="32"/>
          <w:szCs w:val="32"/>
        </w:rPr>
      </w:pPr>
      <w:r>
        <w:rPr>
          <w:rFonts w:ascii="黑体" w:hAnsi="黑体" w:eastAsia="黑体" w:cs="黑体"/>
          <w:sz w:val="32"/>
          <w:szCs w:val="32"/>
        </w:rPr>
        <w:t>第</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对</w:t>
      </w:r>
      <w:r>
        <w:rPr>
          <w:rFonts w:hint="eastAsia" w:ascii="仿宋_GB2312" w:hAnsi="仿宋_GB2312" w:eastAsia="仿宋_GB2312" w:cs="仿宋_GB2312"/>
          <w:bCs/>
          <w:kern w:val="0"/>
          <w:sz w:val="32"/>
          <w:szCs w:val="32"/>
        </w:rPr>
        <w:t>北京</w:t>
      </w:r>
      <w:r>
        <w:rPr>
          <w:rFonts w:ascii="仿宋_GB2312" w:hAnsi="仿宋_GB2312" w:eastAsia="仿宋_GB2312" w:cs="仿宋_GB2312"/>
          <w:bCs/>
          <w:kern w:val="0"/>
          <w:sz w:val="32"/>
          <w:szCs w:val="32"/>
        </w:rPr>
        <w:t>自贸片区</w:t>
      </w:r>
      <w:r>
        <w:rPr>
          <w:rFonts w:hint="eastAsia" w:ascii="仿宋_GB2312" w:hAnsi="仿宋_GB2312" w:eastAsia="仿宋_GB2312" w:cs="仿宋_GB2312"/>
          <w:bCs/>
          <w:kern w:val="0"/>
          <w:sz w:val="32"/>
          <w:szCs w:val="32"/>
        </w:rPr>
        <w:t>昌平组团</w:t>
      </w:r>
      <w:r>
        <w:rPr>
          <w:rFonts w:ascii="仿宋_GB2312" w:hAnsi="仿宋_GB2312" w:eastAsia="仿宋_GB2312" w:cs="仿宋_GB2312"/>
          <w:bCs/>
          <w:kern w:val="0"/>
          <w:sz w:val="32"/>
          <w:szCs w:val="32"/>
        </w:rPr>
        <w:t>内跨境人民币“首办户”企业，按其首办当年发生金额的0.</w:t>
      </w:r>
      <w:r>
        <w:rPr>
          <w:rFonts w:hint="default" w:ascii="仿宋_GB2312" w:hAnsi="仿宋_GB2312" w:eastAsia="仿宋_GB2312" w:cs="仿宋_GB2312"/>
          <w:bCs/>
          <w:kern w:val="0"/>
          <w:sz w:val="32"/>
          <w:szCs w:val="32"/>
          <w:lang w:val="en-US"/>
        </w:rPr>
        <w:t>3</w:t>
      </w:r>
      <w:r>
        <w:rPr>
          <w:rFonts w:ascii="仿宋_GB2312" w:hAnsi="仿宋_GB2312" w:eastAsia="仿宋_GB2312" w:cs="仿宋_GB2312"/>
          <w:bCs/>
          <w:kern w:val="0"/>
          <w:sz w:val="32"/>
          <w:szCs w:val="32"/>
        </w:rPr>
        <w:t>%给予奖励，单家企业最高奖励不超过10万元。</w:t>
      </w:r>
    </w:p>
    <w:p>
      <w:pPr>
        <w:spacing w:beforeLines="100" w:afterLines="100" w:line="560" w:lineRule="exact"/>
        <w:ind w:firstLine="640" w:firstLineChars="200"/>
      </w:pPr>
      <w:r>
        <w:rPr>
          <w:rFonts w:ascii="黑体" w:hAnsi="黑体" w:eastAsia="黑体" w:cs="黑体"/>
          <w:sz w:val="32"/>
          <w:szCs w:val="32"/>
        </w:rPr>
        <w:t>第</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跨境人民币“首办户”是指2021年-2023年未在</w:t>
      </w:r>
      <w:r>
        <w:rPr>
          <w:rFonts w:hint="eastAsia" w:ascii="仿宋_GB2312" w:hAnsi="仿宋_GB2312" w:eastAsia="仿宋_GB2312" w:cs="仿宋_GB2312"/>
          <w:bCs/>
          <w:kern w:val="0"/>
          <w:sz w:val="32"/>
          <w:szCs w:val="32"/>
        </w:rPr>
        <w:t>昌平区</w:t>
      </w:r>
      <w:r>
        <w:rPr>
          <w:rFonts w:ascii="仿宋_GB2312" w:hAnsi="仿宋_GB2312" w:eastAsia="仿宋_GB2312" w:cs="仿宋_GB2312"/>
          <w:bCs/>
          <w:kern w:val="0"/>
          <w:sz w:val="32"/>
          <w:szCs w:val="32"/>
        </w:rPr>
        <w:t>银行机构办理过跨境人民币收付业务（以银行机构报送的数据为准），2024年开始在</w:t>
      </w:r>
      <w:r>
        <w:rPr>
          <w:rFonts w:hint="eastAsia" w:ascii="仿宋_GB2312" w:hAnsi="仿宋_GB2312" w:eastAsia="仿宋_GB2312" w:cs="仿宋_GB2312"/>
          <w:bCs/>
          <w:kern w:val="0"/>
          <w:sz w:val="32"/>
          <w:szCs w:val="32"/>
        </w:rPr>
        <w:t>昌平区</w:t>
      </w:r>
      <w:r>
        <w:rPr>
          <w:rFonts w:ascii="仿宋_GB2312" w:hAnsi="仿宋_GB2312" w:eastAsia="仿宋_GB2312" w:cs="仿宋_GB2312"/>
          <w:bCs/>
          <w:kern w:val="0"/>
          <w:sz w:val="32"/>
          <w:szCs w:val="32"/>
        </w:rPr>
        <w:t>银行机构办理跨境人民币收付业务的企业。</w:t>
      </w:r>
    </w:p>
    <w:p>
      <w:pPr>
        <w:spacing w:beforeLines="100" w:afterLines="10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第三章</w:t>
      </w:r>
      <w:r>
        <w:rPr>
          <w:rFonts w:ascii="黑体" w:hAnsi="黑体" w:eastAsia="黑体" w:cs="黑体"/>
          <w:bCs/>
          <w:kern w:val="0"/>
          <w:sz w:val="32"/>
          <w:szCs w:val="32"/>
        </w:rPr>
        <w:t xml:space="preserve"> 跨境人民币便利化政策</w:t>
      </w:r>
    </w:p>
    <w:p>
      <w:pPr>
        <w:spacing w:beforeLines="100" w:afterLines="100" w:line="560" w:lineRule="exact"/>
        <w:ind w:firstLine="640" w:firstLineChars="200"/>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kern w:val="0"/>
          <w:sz w:val="32"/>
          <w:szCs w:val="32"/>
        </w:rPr>
        <w:t>跨境人民币优质企业可享受昌平区银行机构提供跨境人民币业务便利化服务。对于跨境人民币“首办户”企业，区内银行在做好尽职调查后可优先纳入优质企业范畴。</w:t>
      </w:r>
    </w:p>
    <w:p>
      <w:pPr>
        <w:spacing w:beforeLines="100" w:afterLines="100" w:line="560" w:lineRule="exact"/>
        <w:ind w:firstLine="640" w:firstLineChars="200"/>
        <w:rPr>
          <w:rFonts w:ascii="仿宋_GB2312" w:hAnsi="仿宋_GB2312" w:eastAsia="仿宋_GB2312" w:cs="仿宋_GB2312"/>
          <w:bCs/>
          <w:kern w:val="0"/>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kern w:val="0"/>
          <w:sz w:val="32"/>
          <w:szCs w:val="32"/>
        </w:rPr>
        <w:t>区内银行机构要积极优化业务流程，便利企业合法合规收入的跨境收付业务。</w:t>
      </w:r>
    </w:p>
    <w:p>
      <w:pPr>
        <w:spacing w:beforeLines="100" w:afterLines="10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第四章</w:t>
      </w: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rPr>
        <w:t>鼓励银行提升跨境人民币服务水平</w:t>
      </w:r>
    </w:p>
    <w:p>
      <w:pPr>
        <w:spacing w:beforeLines="100" w:afterLines="100" w:line="560" w:lineRule="exact"/>
        <w:ind w:firstLine="640" w:firstLineChars="200"/>
        <w:rPr>
          <w:rFonts w:ascii="黑体" w:hAnsi="黑体" w:eastAsia="黑体" w:cs="黑体"/>
          <w:bCs/>
          <w:kern w:val="0"/>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条</w:t>
      </w:r>
      <w:r>
        <w:rPr>
          <w:rFonts w:hint="eastAsia" w:ascii="仿宋_GB2312" w:hAnsi="仿宋_GB2312" w:eastAsia="仿宋_GB2312" w:cs="仿宋_GB2312"/>
          <w:bCs/>
          <w:kern w:val="0"/>
          <w:sz w:val="32"/>
          <w:szCs w:val="32"/>
        </w:rPr>
        <w:t xml:space="preserve"> 鼓励和支持区内银行积极对接企业需求，提升服务品质和效率，定期开展跨境人民币政策宣介活动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积极开展新型离岸国际贸易业务、跨境贸易融资、银行境外贷款业务、外贸新业态人民币结算、资本项目数字化办理等跨境人民币业务，为真实合规的跨境人民币结算业务提供无“堵点”、“一站式”优质金融服务。</w:t>
      </w:r>
    </w:p>
    <w:p>
      <w:pPr>
        <w:spacing w:beforeLines="100" w:afterLines="10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 xml:space="preserve">第五章 </w:t>
      </w:r>
      <w:r>
        <w:rPr>
          <w:rFonts w:ascii="黑体" w:hAnsi="黑体" w:eastAsia="黑体" w:cs="黑体"/>
          <w:bCs/>
          <w:kern w:val="0"/>
          <w:sz w:val="32"/>
          <w:szCs w:val="32"/>
        </w:rPr>
        <w:t>申请方式</w:t>
      </w:r>
    </w:p>
    <w:p>
      <w:pPr>
        <w:spacing w:beforeLines="100" w:afterLines="100" w:line="560" w:lineRule="exact"/>
        <w:ind w:firstLine="640" w:firstLineChars="200"/>
        <w:rPr>
          <w:rFonts w:ascii="仿宋_GB2312" w:hAnsi="仿宋_GB2312" w:eastAsia="仿宋_GB2312" w:cs="仿宋_GB2312"/>
          <w:bCs/>
          <w:kern w:val="0"/>
          <w:sz w:val="32"/>
          <w:szCs w:val="32"/>
        </w:rPr>
      </w:pPr>
      <w:r>
        <w:rPr>
          <w:rFonts w:ascii="黑体" w:hAnsi="黑体" w:eastAsia="黑体" w:cs="黑体"/>
          <w:sz w:val="32"/>
          <w:szCs w:val="32"/>
        </w:rPr>
        <w:t>第</w:t>
      </w:r>
      <w:r>
        <w:rPr>
          <w:rFonts w:hint="eastAsia" w:ascii="黑体" w:hAnsi="黑体" w:eastAsia="黑体" w:cs="黑体"/>
          <w:sz w:val="32"/>
          <w:szCs w:val="32"/>
          <w:lang w:val="en-US" w:eastAsia="zh-CN"/>
        </w:rPr>
        <w:t>八</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本</w:t>
      </w:r>
      <w:r>
        <w:rPr>
          <w:rFonts w:hint="eastAsia" w:ascii="仿宋_GB2312" w:hAnsi="仿宋_GB2312" w:eastAsia="仿宋_GB2312" w:cs="仿宋_GB2312"/>
          <w:bCs/>
          <w:kern w:val="0"/>
          <w:sz w:val="32"/>
          <w:szCs w:val="32"/>
        </w:rPr>
        <w:t>奖励</w:t>
      </w:r>
      <w:r>
        <w:rPr>
          <w:rFonts w:ascii="仿宋_GB2312" w:hAnsi="仿宋_GB2312" w:eastAsia="仿宋_GB2312" w:cs="仿宋_GB2312"/>
          <w:bCs/>
          <w:kern w:val="0"/>
          <w:sz w:val="32"/>
          <w:szCs w:val="32"/>
        </w:rPr>
        <w:t>措施采用免申即享</w:t>
      </w:r>
      <w:r>
        <w:rPr>
          <w:rFonts w:hint="eastAsia" w:ascii="仿宋_GB2312" w:hAnsi="仿宋_GB2312" w:eastAsia="仿宋_GB2312" w:cs="仿宋_GB2312"/>
          <w:bCs/>
          <w:kern w:val="0"/>
          <w:sz w:val="32"/>
          <w:szCs w:val="32"/>
          <w:lang w:val="en-US" w:eastAsia="zh-CN"/>
        </w:rPr>
        <w:t>流程办理</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按年兑现，每年</w:t>
      </w:r>
      <w:r>
        <w:rPr>
          <w:rFonts w:hint="eastAsia" w:ascii="仿宋_GB2312" w:hAnsi="仿宋_GB2312" w:eastAsia="仿宋_GB2312" w:cs="仿宋_GB2312"/>
          <w:bCs/>
          <w:kern w:val="0"/>
          <w:sz w:val="32"/>
          <w:szCs w:val="32"/>
          <w:lang w:val="en-US" w:eastAsia="zh-CN"/>
        </w:rPr>
        <w:t>第</w:t>
      </w:r>
      <w:r>
        <w:rPr>
          <w:rFonts w:hint="eastAsia" w:ascii="仿宋_GB2312" w:hAnsi="仿宋_GB2312" w:eastAsia="仿宋_GB2312" w:cs="仿宋_GB2312"/>
          <w:bCs/>
          <w:kern w:val="0"/>
          <w:sz w:val="32"/>
          <w:szCs w:val="32"/>
        </w:rPr>
        <w:t>一季度为兑现时间。中国人民银行北京市分行根据银行报送的跨境人民币收付数据确定符合条件的企业名单，区发改委</w:t>
      </w:r>
      <w:r>
        <w:rPr>
          <w:rFonts w:ascii="仿宋_GB2312" w:hAnsi="仿宋_GB2312" w:eastAsia="仿宋_GB2312" w:cs="仿宋_GB2312"/>
          <w:bCs/>
          <w:kern w:val="0"/>
          <w:sz w:val="32"/>
          <w:szCs w:val="32"/>
        </w:rPr>
        <w:t>将通过短信或电话方式通知符合条件的企业提供相关承诺书及收据办理政策兑现。</w:t>
      </w:r>
    </w:p>
    <w:p>
      <w:pPr>
        <w:spacing w:beforeLines="100" w:afterLines="100" w:line="560" w:lineRule="exact"/>
        <w:jc w:val="center"/>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 xml:space="preserve">章 </w:t>
      </w:r>
      <w:r>
        <w:rPr>
          <w:rFonts w:hint="eastAsia" w:ascii="黑体" w:hAnsi="黑体" w:eastAsia="黑体" w:cs="黑体"/>
          <w:bCs/>
          <w:kern w:val="0"/>
          <w:sz w:val="32"/>
          <w:szCs w:val="32"/>
          <w:lang w:val="en-US" w:eastAsia="zh-CN"/>
        </w:rPr>
        <w:t>其他事项</w:t>
      </w:r>
    </w:p>
    <w:p>
      <w:pPr>
        <w:spacing w:beforeLines="100" w:afterLines="100" w:line="560" w:lineRule="exact"/>
        <w:ind w:firstLine="640" w:firstLineChars="200"/>
      </w:pPr>
      <w:r>
        <w:rPr>
          <w:rFonts w:ascii="黑体" w:hAnsi="黑体" w:eastAsia="黑体" w:cs="黑体"/>
          <w:sz w:val="32"/>
          <w:szCs w:val="32"/>
        </w:rPr>
        <w:t>第</w:t>
      </w:r>
      <w:r>
        <w:rPr>
          <w:rFonts w:hint="eastAsia" w:ascii="黑体" w:hAnsi="黑体" w:eastAsia="黑体" w:cs="黑体"/>
          <w:sz w:val="32"/>
          <w:szCs w:val="32"/>
          <w:lang w:val="en-US" w:eastAsia="zh-CN"/>
        </w:rPr>
        <w:t>九</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除本</w:t>
      </w:r>
      <w:r>
        <w:rPr>
          <w:rFonts w:hint="eastAsia" w:ascii="仿宋_GB2312" w:hAnsi="仿宋_GB2312" w:eastAsia="仿宋_GB2312" w:cs="仿宋_GB2312"/>
          <w:bCs/>
          <w:kern w:val="0"/>
          <w:sz w:val="32"/>
          <w:szCs w:val="32"/>
          <w:lang w:val="en-US" w:eastAsia="zh-CN"/>
        </w:rPr>
        <w:t>办法</w:t>
      </w:r>
      <w:r>
        <w:rPr>
          <w:rFonts w:ascii="仿宋_GB2312" w:hAnsi="仿宋_GB2312" w:eastAsia="仿宋_GB2312" w:cs="仿宋_GB2312"/>
          <w:bCs/>
          <w:kern w:val="0"/>
          <w:sz w:val="32"/>
          <w:szCs w:val="32"/>
        </w:rPr>
        <w:t>另有规定外，以上条款如与本市政策相关条款类同的，按就高不重复原则执行。</w:t>
      </w:r>
    </w:p>
    <w:p>
      <w:pPr>
        <w:pStyle w:val="2"/>
        <w:ind w:firstLine="640" w:firstLineChars="200"/>
        <w:rPr>
          <w:rFonts w:hint="default" w:eastAsia="黑体"/>
          <w:lang w:val="en-US" w:eastAsia="zh-CN"/>
        </w:rPr>
      </w:pPr>
      <w:r>
        <w:rPr>
          <w:rFonts w:ascii="黑体" w:hAnsi="黑体" w:eastAsia="黑体" w:cs="黑体"/>
          <w:sz w:val="32"/>
          <w:szCs w:val="32"/>
        </w:rPr>
        <w:t>第</w:t>
      </w:r>
      <w:r>
        <w:rPr>
          <w:rFonts w:hint="default" w:ascii="黑体" w:hAnsi="黑体" w:eastAsia="黑体" w:cs="黑体"/>
          <w:sz w:val="32"/>
          <w:szCs w:val="32"/>
          <w:lang w:val="en-US" w:eastAsia="zh-CN"/>
        </w:rPr>
        <w:t>十</w:t>
      </w:r>
      <w:r>
        <w:rPr>
          <w:rFonts w:ascii="黑体" w:hAnsi="黑体" w:eastAsia="黑体" w:cs="黑体"/>
          <w:sz w:val="32"/>
          <w:szCs w:val="32"/>
        </w:rPr>
        <w:t>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bCs/>
          <w:kern w:val="0"/>
          <w:sz w:val="32"/>
          <w:szCs w:val="32"/>
          <w:lang w:val="en-US" w:eastAsia="zh-CN"/>
        </w:rPr>
        <w:t>本办法由区发改委负责解释。</w:t>
      </w:r>
    </w:p>
    <w:p>
      <w:pPr>
        <w:spacing w:beforeLines="100" w:afterLines="100" w:line="560" w:lineRule="exact"/>
        <w:ind w:firstLine="640" w:firstLineChars="200"/>
        <w:rPr>
          <w:rFonts w:ascii="仿宋_GB2312" w:hAnsi="仿宋_GB2312" w:eastAsia="仿宋_GB2312" w:cs="仿宋_GB2312"/>
          <w:bCs/>
          <w:kern w:val="0"/>
          <w:sz w:val="32"/>
          <w:szCs w:val="32"/>
        </w:rPr>
      </w:pPr>
      <w:r>
        <w:rPr>
          <w:rFonts w:ascii="黑体" w:hAnsi="黑体" w:eastAsia="黑体" w:cs="黑体"/>
          <w:sz w:val="32"/>
          <w:szCs w:val="32"/>
        </w:rPr>
        <w:t>第</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ascii="黑体" w:hAnsi="黑体" w:eastAsia="黑体" w:cs="黑体"/>
          <w:sz w:val="32"/>
          <w:szCs w:val="32"/>
        </w:rPr>
        <w:t>条</w:t>
      </w:r>
      <w:r>
        <w:rPr>
          <w:rFonts w:hint="eastAsia" w:ascii="黑体" w:hAnsi="黑体" w:eastAsia="黑体" w:cs="黑体"/>
          <w:sz w:val="32"/>
          <w:szCs w:val="32"/>
          <w:lang w:val="en-US" w:eastAsia="zh-CN"/>
        </w:rPr>
        <w:t xml:space="preserve"> </w:t>
      </w:r>
      <w:r>
        <w:rPr>
          <w:rFonts w:ascii="仿宋_GB2312" w:hAnsi="仿宋_GB2312" w:eastAsia="仿宋_GB2312" w:cs="仿宋_GB2312"/>
          <w:bCs/>
          <w:kern w:val="0"/>
          <w:sz w:val="32"/>
          <w:szCs w:val="32"/>
        </w:rPr>
        <w:t>本措施自2024年</w:t>
      </w:r>
      <w:r>
        <w:rPr>
          <w:rFonts w:hint="eastAsia" w:ascii="仿宋_GB2312" w:hAnsi="仿宋_GB2312" w:eastAsia="仿宋_GB2312" w:cs="仿宋_GB2312"/>
          <w:bCs/>
          <w:kern w:val="0"/>
          <w:sz w:val="32"/>
          <w:szCs w:val="32"/>
        </w:rPr>
        <w:t>XX</w:t>
      </w:r>
      <w:r>
        <w:rPr>
          <w:rFonts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rPr>
        <w:t>XX</w:t>
      </w:r>
      <w:r>
        <w:rPr>
          <w:rFonts w:ascii="仿宋_GB2312" w:hAnsi="仿宋_GB2312" w:eastAsia="仿宋_GB2312" w:cs="仿宋_GB2312"/>
          <w:bCs/>
          <w:kern w:val="0"/>
          <w:sz w:val="32"/>
          <w:szCs w:val="32"/>
        </w:rPr>
        <w:t>日起施行，有效期至2025年12月31日。2024年1月1日至</w:t>
      </w:r>
      <w:r>
        <w:rPr>
          <w:rFonts w:hint="eastAsia" w:ascii="仿宋_GB2312" w:hAnsi="仿宋_GB2312" w:eastAsia="仿宋_GB2312" w:cs="仿宋_GB2312"/>
          <w:bCs/>
          <w:kern w:val="0"/>
          <w:sz w:val="32"/>
          <w:szCs w:val="32"/>
        </w:rPr>
        <w:t>XX</w:t>
      </w:r>
      <w:r>
        <w:rPr>
          <w:rFonts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rPr>
        <w:t>XX</w:t>
      </w:r>
      <w:r>
        <w:rPr>
          <w:rFonts w:ascii="仿宋_GB2312" w:hAnsi="仿宋_GB2312" w:eastAsia="仿宋_GB2312" w:cs="仿宋_GB2312"/>
          <w:bCs/>
          <w:kern w:val="0"/>
          <w:sz w:val="32"/>
          <w:szCs w:val="32"/>
        </w:rPr>
        <w:t>日的业务参照本措施。</w:t>
      </w:r>
    </w:p>
    <w:p>
      <w:pPr>
        <w:pStyle w:val="12"/>
      </w:pPr>
    </w:p>
    <w:sectPr>
      <w:footerReference r:id="rId3" w:type="default"/>
      <w:pgSz w:w="11906" w:h="16838"/>
      <w:pgMar w:top="2098" w:right="1417" w:bottom="198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363158"/>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4363158"/>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zYxN2U4MzZmNjExZmU1NjcwZmIyYWMxNDJiOTYifQ=="/>
  </w:docVars>
  <w:rsids>
    <w:rsidRoot w:val="7A4F7B5E"/>
    <w:rsid w:val="005A2D64"/>
    <w:rsid w:val="025717B3"/>
    <w:rsid w:val="0C4D19CF"/>
    <w:rsid w:val="0DC91529"/>
    <w:rsid w:val="0F2A5FF8"/>
    <w:rsid w:val="14C60571"/>
    <w:rsid w:val="17CF1E32"/>
    <w:rsid w:val="18FF3690"/>
    <w:rsid w:val="194B7296"/>
    <w:rsid w:val="19687E48"/>
    <w:rsid w:val="1A1A55E6"/>
    <w:rsid w:val="1A8E1B30"/>
    <w:rsid w:val="1B7725C5"/>
    <w:rsid w:val="1BF3529E"/>
    <w:rsid w:val="1CA60491"/>
    <w:rsid w:val="1F5BB4F2"/>
    <w:rsid w:val="1F770DE5"/>
    <w:rsid w:val="1FFD75EB"/>
    <w:rsid w:val="225E628C"/>
    <w:rsid w:val="22C51D63"/>
    <w:rsid w:val="23F130F4"/>
    <w:rsid w:val="247B3126"/>
    <w:rsid w:val="256E4A38"/>
    <w:rsid w:val="25965599"/>
    <w:rsid w:val="265E685B"/>
    <w:rsid w:val="2EEE0998"/>
    <w:rsid w:val="31BA2C92"/>
    <w:rsid w:val="3B871F58"/>
    <w:rsid w:val="3E946E66"/>
    <w:rsid w:val="41AD023F"/>
    <w:rsid w:val="41C757A4"/>
    <w:rsid w:val="42BA2C13"/>
    <w:rsid w:val="42E859D2"/>
    <w:rsid w:val="4E8A5B90"/>
    <w:rsid w:val="505E1082"/>
    <w:rsid w:val="51DA0BDC"/>
    <w:rsid w:val="56116B96"/>
    <w:rsid w:val="566D0271"/>
    <w:rsid w:val="598F04FE"/>
    <w:rsid w:val="5B7FC794"/>
    <w:rsid w:val="5D6331F9"/>
    <w:rsid w:val="641F6922"/>
    <w:rsid w:val="64487C27"/>
    <w:rsid w:val="67CCBC80"/>
    <w:rsid w:val="6AB46785"/>
    <w:rsid w:val="6BEF5524"/>
    <w:rsid w:val="6F8719AD"/>
    <w:rsid w:val="704421C8"/>
    <w:rsid w:val="707B1786"/>
    <w:rsid w:val="73C117A4"/>
    <w:rsid w:val="74A76BEC"/>
    <w:rsid w:val="761958C7"/>
    <w:rsid w:val="782FA746"/>
    <w:rsid w:val="785E75C1"/>
    <w:rsid w:val="78F46178"/>
    <w:rsid w:val="7A4B1DC7"/>
    <w:rsid w:val="7A4F7B5E"/>
    <w:rsid w:val="7BBA8D12"/>
    <w:rsid w:val="7D3134F6"/>
    <w:rsid w:val="7D5F0E69"/>
    <w:rsid w:val="7D7D04EA"/>
    <w:rsid w:val="7ED625A7"/>
    <w:rsid w:val="7F3B240A"/>
    <w:rsid w:val="7F4339B5"/>
    <w:rsid w:val="7F53975E"/>
    <w:rsid w:val="7FB1091F"/>
    <w:rsid w:val="DDDB5168"/>
    <w:rsid w:val="EDD761B5"/>
    <w:rsid w:val="EFF76BF8"/>
    <w:rsid w:val="F7338387"/>
    <w:rsid w:val="FBF96D6B"/>
    <w:rsid w:val="FE7C1FDC"/>
    <w:rsid w:val="FF390003"/>
    <w:rsid w:val="FF991E0F"/>
    <w:rsid w:val="FFEB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ind w:firstLine="0"/>
    </w:pPr>
    <w:rPr>
      <w:rFonts w:ascii="宋体" w:hAnsi="宋体" w:cs="宋体"/>
      <w:kern w:val="0"/>
      <w:sz w:val="24"/>
      <w:szCs w:val="24"/>
    </w:rPr>
  </w:style>
  <w:style w:type="paragraph" w:styleId="7">
    <w:name w:val="annotation subject"/>
    <w:basedOn w:val="3"/>
    <w:next w:val="3"/>
    <w:unhideWhenUsed/>
    <w:qFormat/>
    <w:uiPriority w:val="99"/>
    <w:rPr>
      <w:b/>
      <w:bCs/>
    </w:rPr>
  </w:style>
  <w:style w:type="paragraph" w:customStyle="1" w:styleId="10">
    <w:name w:val="List Paragraph"/>
    <w:basedOn w:val="1"/>
    <w:qFormat/>
    <w:uiPriority w:val="99"/>
    <w:pPr>
      <w:ind w:firstLine="420" w:firstLineChars="200"/>
    </w:pPr>
  </w:style>
  <w:style w:type="paragraph" w:customStyle="1" w:styleId="11">
    <w:name w:val="列表段落1"/>
    <w:basedOn w:val="1"/>
    <w:qFormat/>
    <w:uiPriority w:val="99"/>
    <w:pPr>
      <w:ind w:firstLine="420" w:firstLineChars="200"/>
    </w:pPr>
  </w:style>
  <w:style w:type="paragraph" w:customStyle="1" w:styleId="12">
    <w:name w:val="正文（缩进）"/>
    <w:qFormat/>
    <w:uiPriority w:val="0"/>
    <w:pPr>
      <w:widowControl w:val="0"/>
      <w:spacing w:beforeLines="50" w:afterLines="50" w:line="360" w:lineRule="auto"/>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1031</Words>
  <Characters>1070</Characters>
  <Lines>0</Lines>
  <Paragraphs>0</Paragraphs>
  <TotalTime>6</TotalTime>
  <ScaleCrop>false</ScaleCrop>
  <LinksUpToDate>false</LinksUpToDate>
  <CharactersWithSpaces>1086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2021-02-27T10:22:00Z</dcterms:created>
  <dc:creator>Administrator</dc:creator>
  <cp:lastModifiedBy>小野猫JANE</cp:lastModifiedBy>
  <cp:lastPrinted>2024-09-10T15:40:00Z</cp:lastPrinted>
  <dcterms:modified xsi:type="dcterms:W3CDTF">2024-09-19T07:03:51Z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6655CB11A20848F18A79725B471BD3B7_13</vt:lpwstr>
  </property>
</Properties>
</file>