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36A1B" w14:textId="77777777" w:rsidR="0031243B" w:rsidRDefault="0031243B">
      <w:pPr>
        <w:spacing w:line="300" w:lineRule="auto"/>
        <w:jc w:val="center"/>
        <w:rPr>
          <w:rFonts w:ascii="仿宋" w:eastAsia="仿宋" w:hAnsi="仿宋" w:cs="仿宋"/>
          <w:b/>
          <w:bCs/>
          <w:sz w:val="28"/>
          <w:szCs w:val="28"/>
        </w:rPr>
      </w:pPr>
    </w:p>
    <w:p w14:paraId="49CD1C3A" w14:textId="77777777" w:rsidR="0031243B" w:rsidRDefault="0031243B">
      <w:pPr>
        <w:spacing w:line="300" w:lineRule="auto"/>
        <w:jc w:val="center"/>
        <w:rPr>
          <w:rFonts w:ascii="仿宋" w:eastAsia="仿宋" w:hAnsi="仿宋" w:cs="仿宋"/>
          <w:b/>
          <w:bCs/>
          <w:sz w:val="28"/>
          <w:szCs w:val="28"/>
        </w:rPr>
      </w:pPr>
    </w:p>
    <w:p w14:paraId="531248FB" w14:textId="77777777" w:rsidR="0031243B" w:rsidRDefault="0031243B">
      <w:pPr>
        <w:spacing w:line="300" w:lineRule="auto"/>
        <w:jc w:val="center"/>
        <w:rPr>
          <w:rFonts w:ascii="仿宋" w:eastAsia="仿宋" w:hAnsi="仿宋" w:cs="仿宋"/>
          <w:b/>
          <w:bCs/>
          <w:sz w:val="28"/>
          <w:szCs w:val="28"/>
        </w:rPr>
      </w:pPr>
    </w:p>
    <w:p w14:paraId="1D45D5C8" w14:textId="77777777" w:rsidR="0031243B" w:rsidRDefault="0031243B">
      <w:pPr>
        <w:spacing w:line="300" w:lineRule="auto"/>
        <w:jc w:val="center"/>
        <w:rPr>
          <w:rFonts w:ascii="仿宋" w:eastAsia="仿宋" w:hAnsi="仿宋" w:cs="仿宋"/>
          <w:b/>
          <w:bCs/>
          <w:sz w:val="28"/>
          <w:szCs w:val="28"/>
        </w:rPr>
      </w:pPr>
    </w:p>
    <w:p w14:paraId="2A2FBBA3" w14:textId="77777777" w:rsidR="0031243B" w:rsidRDefault="0031243B">
      <w:pPr>
        <w:spacing w:line="300" w:lineRule="auto"/>
        <w:jc w:val="center"/>
        <w:rPr>
          <w:rFonts w:ascii="仿宋" w:eastAsia="仿宋" w:hAnsi="仿宋" w:cs="仿宋"/>
          <w:b/>
          <w:bCs/>
          <w:sz w:val="28"/>
          <w:szCs w:val="28"/>
        </w:rPr>
      </w:pPr>
    </w:p>
    <w:p w14:paraId="1E30F628" w14:textId="77777777" w:rsidR="0031243B" w:rsidRDefault="0031243B">
      <w:pPr>
        <w:spacing w:line="300" w:lineRule="auto"/>
        <w:jc w:val="center"/>
        <w:rPr>
          <w:rFonts w:ascii="仿宋" w:eastAsia="仿宋" w:hAnsi="仿宋" w:cs="仿宋"/>
          <w:b/>
          <w:bCs/>
          <w:sz w:val="32"/>
          <w:szCs w:val="32"/>
        </w:rPr>
      </w:pPr>
    </w:p>
    <w:p w14:paraId="2835D79B" w14:textId="77777777" w:rsidR="0031243B" w:rsidRDefault="0031243B">
      <w:pPr>
        <w:spacing w:line="300" w:lineRule="auto"/>
        <w:jc w:val="center"/>
        <w:rPr>
          <w:rFonts w:ascii="仿宋" w:eastAsia="仿宋" w:hAnsi="仿宋" w:cs="仿宋"/>
          <w:b/>
          <w:bCs/>
          <w:sz w:val="32"/>
          <w:szCs w:val="32"/>
        </w:rPr>
      </w:pPr>
    </w:p>
    <w:p w14:paraId="57EABD75" w14:textId="77777777" w:rsidR="0031243B" w:rsidRDefault="0031243B">
      <w:pPr>
        <w:spacing w:line="300" w:lineRule="auto"/>
        <w:jc w:val="center"/>
        <w:rPr>
          <w:rFonts w:ascii="仿宋" w:eastAsia="仿宋" w:hAnsi="仿宋" w:cs="仿宋"/>
          <w:b/>
          <w:bCs/>
          <w:sz w:val="32"/>
          <w:szCs w:val="32"/>
        </w:rPr>
      </w:pPr>
    </w:p>
    <w:p w14:paraId="73553DAF" w14:textId="77777777" w:rsidR="0031243B" w:rsidRDefault="0031243B">
      <w:pPr>
        <w:spacing w:line="300" w:lineRule="auto"/>
        <w:jc w:val="center"/>
        <w:rPr>
          <w:rFonts w:ascii="仿宋" w:eastAsia="仿宋" w:hAnsi="仿宋" w:cs="仿宋"/>
          <w:b/>
          <w:bCs/>
          <w:sz w:val="32"/>
          <w:szCs w:val="32"/>
        </w:rPr>
      </w:pPr>
    </w:p>
    <w:p w14:paraId="1501899C" w14:textId="77777777" w:rsidR="0031243B" w:rsidRDefault="000014E9">
      <w:pPr>
        <w:spacing w:line="300" w:lineRule="auto"/>
        <w:jc w:val="center"/>
        <w:rPr>
          <w:rFonts w:ascii="仿宋" w:eastAsia="仿宋" w:hAnsi="仿宋" w:cs="仿宋"/>
          <w:b/>
          <w:bCs/>
          <w:sz w:val="52"/>
          <w:szCs w:val="52"/>
        </w:rPr>
      </w:pPr>
      <w:r>
        <w:rPr>
          <w:rFonts w:ascii="仿宋" w:eastAsia="仿宋" w:hAnsi="仿宋" w:cs="仿宋_GB2312" w:hint="eastAsia"/>
          <w:sz w:val="52"/>
          <w:szCs w:val="52"/>
        </w:rPr>
        <w:t>丰台区科技企业孵化器认定（复核）申报指南</w:t>
      </w:r>
    </w:p>
    <w:p w14:paraId="57D174FA" w14:textId="77777777" w:rsidR="0031243B" w:rsidRDefault="0031243B">
      <w:pPr>
        <w:spacing w:line="300" w:lineRule="auto"/>
        <w:jc w:val="center"/>
        <w:rPr>
          <w:rFonts w:ascii="仿宋" w:eastAsia="仿宋" w:hAnsi="仿宋" w:cs="仿宋"/>
          <w:b/>
          <w:sz w:val="32"/>
          <w:szCs w:val="32"/>
        </w:rPr>
      </w:pPr>
    </w:p>
    <w:p w14:paraId="6B0BB217" w14:textId="77777777" w:rsidR="0031243B" w:rsidRDefault="0031243B">
      <w:pPr>
        <w:spacing w:line="300" w:lineRule="auto"/>
        <w:jc w:val="center"/>
        <w:rPr>
          <w:rFonts w:ascii="仿宋" w:eastAsia="仿宋" w:hAnsi="仿宋" w:cs="仿宋"/>
          <w:b/>
          <w:sz w:val="28"/>
          <w:szCs w:val="28"/>
        </w:rPr>
      </w:pPr>
    </w:p>
    <w:p w14:paraId="702041D6" w14:textId="77777777" w:rsidR="0031243B" w:rsidRDefault="0031243B">
      <w:pPr>
        <w:spacing w:line="300" w:lineRule="auto"/>
        <w:jc w:val="center"/>
        <w:rPr>
          <w:rFonts w:ascii="仿宋" w:eastAsia="仿宋" w:hAnsi="仿宋" w:cs="仿宋"/>
          <w:b/>
          <w:sz w:val="28"/>
          <w:szCs w:val="28"/>
        </w:rPr>
      </w:pPr>
    </w:p>
    <w:p w14:paraId="74803228" w14:textId="77777777" w:rsidR="0031243B" w:rsidRDefault="0031243B">
      <w:pPr>
        <w:spacing w:line="300" w:lineRule="auto"/>
        <w:jc w:val="center"/>
        <w:rPr>
          <w:rFonts w:ascii="仿宋" w:eastAsia="仿宋" w:hAnsi="仿宋" w:cs="仿宋"/>
          <w:b/>
          <w:sz w:val="28"/>
          <w:szCs w:val="28"/>
        </w:rPr>
      </w:pPr>
    </w:p>
    <w:p w14:paraId="6CF2FB51" w14:textId="77777777" w:rsidR="0031243B" w:rsidRDefault="0031243B">
      <w:pPr>
        <w:spacing w:line="300" w:lineRule="auto"/>
        <w:jc w:val="center"/>
        <w:rPr>
          <w:rFonts w:ascii="仿宋" w:eastAsia="仿宋" w:hAnsi="仿宋" w:cs="仿宋"/>
          <w:b/>
          <w:sz w:val="28"/>
          <w:szCs w:val="28"/>
        </w:rPr>
      </w:pPr>
    </w:p>
    <w:p w14:paraId="63AA2FE2" w14:textId="77777777" w:rsidR="0031243B" w:rsidRDefault="0031243B">
      <w:pPr>
        <w:spacing w:line="300" w:lineRule="auto"/>
        <w:jc w:val="center"/>
        <w:rPr>
          <w:rFonts w:ascii="仿宋" w:eastAsia="仿宋" w:hAnsi="仿宋" w:cs="仿宋"/>
          <w:b/>
          <w:sz w:val="28"/>
          <w:szCs w:val="28"/>
        </w:rPr>
      </w:pPr>
    </w:p>
    <w:p w14:paraId="46107954" w14:textId="77777777" w:rsidR="0031243B" w:rsidRDefault="0031243B">
      <w:pPr>
        <w:spacing w:line="300" w:lineRule="auto"/>
        <w:jc w:val="center"/>
        <w:rPr>
          <w:rFonts w:ascii="仿宋" w:eastAsia="仿宋" w:hAnsi="仿宋" w:cs="仿宋"/>
          <w:b/>
          <w:sz w:val="28"/>
          <w:szCs w:val="28"/>
        </w:rPr>
      </w:pPr>
    </w:p>
    <w:p w14:paraId="120C45BB" w14:textId="77777777" w:rsidR="0031243B" w:rsidRDefault="0031243B">
      <w:pPr>
        <w:spacing w:line="300" w:lineRule="auto"/>
        <w:jc w:val="center"/>
        <w:rPr>
          <w:rFonts w:ascii="仿宋" w:eastAsia="仿宋" w:hAnsi="仿宋" w:cs="仿宋"/>
          <w:b/>
          <w:sz w:val="28"/>
          <w:szCs w:val="28"/>
        </w:rPr>
      </w:pPr>
    </w:p>
    <w:p w14:paraId="1A88EEAF" w14:textId="77777777" w:rsidR="0031243B" w:rsidRDefault="0031243B">
      <w:pPr>
        <w:spacing w:line="360" w:lineRule="auto"/>
        <w:rPr>
          <w:rFonts w:ascii="仿宋" w:eastAsia="仿宋" w:hAnsi="仿宋" w:cs="仿宋"/>
          <w:sz w:val="28"/>
          <w:szCs w:val="28"/>
        </w:rPr>
      </w:pPr>
    </w:p>
    <w:p w14:paraId="19B7158B" w14:textId="77777777" w:rsidR="0031243B" w:rsidRDefault="0031243B">
      <w:pPr>
        <w:widowControl/>
        <w:spacing w:line="360" w:lineRule="auto"/>
        <w:ind w:firstLine="599"/>
        <w:rPr>
          <w:rFonts w:ascii="仿宋_GB2312" w:eastAsia="仿宋_GB2312" w:hAnsi="等线" w:cs="Times New Roman"/>
          <w:bCs/>
          <w:sz w:val="30"/>
          <w:szCs w:val="30"/>
        </w:rPr>
      </w:pPr>
    </w:p>
    <w:p w14:paraId="71E0F00D" w14:textId="77777777" w:rsidR="0031243B" w:rsidRDefault="0031243B">
      <w:pPr>
        <w:widowControl/>
        <w:spacing w:line="360" w:lineRule="auto"/>
        <w:ind w:firstLine="599"/>
        <w:rPr>
          <w:rFonts w:ascii="仿宋_GB2312" w:eastAsia="仿宋_GB2312" w:hAnsi="等线" w:cs="Times New Roman"/>
          <w:bCs/>
          <w:sz w:val="30"/>
          <w:szCs w:val="30"/>
        </w:rPr>
      </w:pPr>
    </w:p>
    <w:p w14:paraId="092717D5"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为深入落实双创工作精神，进一步规范对全区科技企业孵化器的管理，引导科技企业孵化器健康发展。根据《丰台区科技企业孵化机构认定管理办法（修订）》</w:t>
      </w:r>
      <w:r>
        <w:rPr>
          <w:rFonts w:ascii="仿宋_GB2312" w:eastAsia="仿宋_GB2312" w:hAnsi="等线" w:cs="Times New Roman"/>
          <w:bCs/>
          <w:sz w:val="30"/>
          <w:szCs w:val="30"/>
        </w:rPr>
        <w:t>(</w:t>
      </w:r>
      <w:proofErr w:type="gramStart"/>
      <w:r>
        <w:rPr>
          <w:rFonts w:ascii="仿宋_GB2312" w:eastAsia="仿宋_GB2312" w:hAnsi="等线" w:cs="Times New Roman" w:hint="eastAsia"/>
          <w:bCs/>
          <w:sz w:val="30"/>
          <w:szCs w:val="30"/>
        </w:rPr>
        <w:t>丰科信</w:t>
      </w:r>
      <w:proofErr w:type="gramEnd"/>
      <w:r>
        <w:rPr>
          <w:rFonts w:ascii="仿宋_GB2312" w:eastAsia="仿宋_GB2312" w:hAnsi="等线" w:cs="Times New Roman" w:hint="eastAsia"/>
          <w:bCs/>
          <w:sz w:val="30"/>
          <w:szCs w:val="30"/>
        </w:rPr>
        <w:t>发〔</w:t>
      </w:r>
      <w:r>
        <w:rPr>
          <w:rFonts w:ascii="仿宋_GB2312" w:eastAsia="仿宋_GB2312" w:hAnsi="等线" w:cs="Times New Roman"/>
          <w:bCs/>
          <w:sz w:val="30"/>
          <w:szCs w:val="30"/>
        </w:rPr>
        <w:t>202</w:t>
      </w:r>
      <w:r>
        <w:rPr>
          <w:rFonts w:ascii="仿宋_GB2312" w:eastAsia="仿宋_GB2312" w:hAnsi="等线" w:cs="Times New Roman" w:hint="eastAsia"/>
          <w:bCs/>
          <w:sz w:val="30"/>
          <w:szCs w:val="30"/>
        </w:rPr>
        <w:t>3〕</w:t>
      </w:r>
      <w:r>
        <w:rPr>
          <w:rFonts w:ascii="仿宋_GB2312" w:eastAsia="仿宋_GB2312" w:hAnsi="等线" w:cs="Times New Roman"/>
          <w:bCs/>
          <w:sz w:val="30"/>
          <w:szCs w:val="30"/>
        </w:rPr>
        <w:t>1</w:t>
      </w:r>
      <w:r>
        <w:rPr>
          <w:rFonts w:ascii="仿宋_GB2312" w:eastAsia="仿宋_GB2312" w:hAnsi="等线" w:cs="Times New Roman" w:hint="eastAsia"/>
          <w:bCs/>
          <w:sz w:val="30"/>
          <w:szCs w:val="30"/>
        </w:rPr>
        <w:t>号</w:t>
      </w:r>
      <w:r>
        <w:rPr>
          <w:rFonts w:ascii="仿宋_GB2312" w:eastAsia="仿宋_GB2312" w:hAnsi="等线" w:cs="Times New Roman"/>
          <w:bCs/>
          <w:sz w:val="30"/>
          <w:szCs w:val="30"/>
        </w:rPr>
        <w:t>)</w:t>
      </w:r>
      <w:r>
        <w:rPr>
          <w:rFonts w:ascii="仿宋_GB2312" w:eastAsia="仿宋_GB2312" w:hAnsi="等线" w:cs="Times New Roman" w:hint="eastAsia"/>
          <w:bCs/>
          <w:sz w:val="30"/>
          <w:szCs w:val="30"/>
        </w:rPr>
        <w:t>（以下简称“管理办法”），特制定本指南。</w:t>
      </w:r>
    </w:p>
    <w:p w14:paraId="6E48CA2A" w14:textId="77777777" w:rsidR="0031243B" w:rsidRDefault="000014E9">
      <w:pPr>
        <w:spacing w:line="560" w:lineRule="exact"/>
        <w:ind w:firstLineChars="200" w:firstLine="600"/>
        <w:rPr>
          <w:rFonts w:ascii="黑体" w:eastAsia="黑体" w:hAnsi="黑体" w:cs="Times New Roman"/>
          <w:bCs/>
          <w:sz w:val="30"/>
          <w:szCs w:val="30"/>
        </w:rPr>
      </w:pPr>
      <w:r>
        <w:rPr>
          <w:rFonts w:ascii="黑体" w:eastAsia="黑体" w:hAnsi="黑体" w:cs="Times New Roman" w:hint="eastAsia"/>
          <w:bCs/>
          <w:sz w:val="30"/>
          <w:szCs w:val="30"/>
        </w:rPr>
        <w:t>一、申报区级科技企业孵化器应具备以下条件</w:t>
      </w:r>
    </w:p>
    <w:p w14:paraId="646843EA"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一）科技企业孵化器运营单位需是依法注册在丰台区行政区域内并缴纳税款的专门经营孵化机构的独立法人企、事业单位。注册时间满1年，发展方向明确，具有完善的运营管理体系和健全的孵化服务机制，建有企业库（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与毕业企业）、服务机构库和重点项目库。</w:t>
      </w:r>
    </w:p>
    <w:p w14:paraId="198239E5"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
          <w:bCs/>
          <w:sz w:val="30"/>
          <w:szCs w:val="30"/>
        </w:rPr>
        <w:t>运营管理体系</w:t>
      </w:r>
      <w:r>
        <w:rPr>
          <w:rFonts w:ascii="仿宋_GB2312" w:eastAsia="仿宋_GB2312" w:hAnsi="等线" w:cs="Times New Roman" w:hint="eastAsia"/>
          <w:bCs/>
          <w:sz w:val="30"/>
          <w:szCs w:val="30"/>
        </w:rPr>
        <w:t>是对孵化机构的日常运作做出的具体安排。这一安排由孵化器管理层根据孵化器的战略计划做出，下达给各部门或执行层，再细化为具体的执行方案和具体行动。主要包括孵化机构的战略计划、年度商业计划、运营管理团队完整性，岗位设置合理性，</w:t>
      </w:r>
      <w:proofErr w:type="gramStart"/>
      <w:r>
        <w:rPr>
          <w:rFonts w:ascii="仿宋_GB2312" w:eastAsia="仿宋_GB2312" w:hAnsi="等线" w:cs="Times New Roman" w:hint="eastAsia"/>
          <w:bCs/>
          <w:sz w:val="30"/>
          <w:szCs w:val="30"/>
        </w:rPr>
        <w:t>人岗匹配</w:t>
      </w:r>
      <w:proofErr w:type="gramEnd"/>
      <w:r>
        <w:rPr>
          <w:rFonts w:ascii="仿宋_GB2312" w:eastAsia="仿宋_GB2312" w:hAnsi="等线" w:cs="Times New Roman" w:hint="eastAsia"/>
          <w:bCs/>
          <w:sz w:val="30"/>
          <w:szCs w:val="30"/>
        </w:rPr>
        <w:t>合理性，人员精神面貌，信息流通顺畅情况、市场开发方法、整合的孵化服务等内容。</w:t>
      </w:r>
    </w:p>
    <w:p w14:paraId="3948E652"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
          <w:bCs/>
          <w:sz w:val="30"/>
          <w:szCs w:val="30"/>
        </w:rPr>
        <w:t>孵化服务机制</w:t>
      </w:r>
      <w:r>
        <w:rPr>
          <w:rFonts w:ascii="仿宋_GB2312" w:eastAsia="仿宋_GB2312" w:hAnsi="等线" w:cs="Times New Roman" w:hint="eastAsia"/>
          <w:bCs/>
          <w:sz w:val="30"/>
          <w:szCs w:val="30"/>
        </w:rPr>
        <w:t>是通过广泛和完整的服务体系将科技创业过程系统化。主要包括以下两方面：一是满足小型企业创办所需的基本服务，包括绝大部分硬件设施和少部分软增值服务；二是较深层次的软增值服务，诸如咨询、资金、市场开发、信息、人才培训，以及与外界的交流等。</w:t>
      </w:r>
    </w:p>
    <w:p w14:paraId="35A74369"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企业库（在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与毕业企业）、服务机构库和重点项目库、品牌活动</w:t>
      </w:r>
      <w:proofErr w:type="gramStart"/>
      <w:r>
        <w:rPr>
          <w:rFonts w:ascii="仿宋_GB2312" w:eastAsia="仿宋_GB2312" w:hAnsi="等线" w:cs="Times New Roman" w:hint="eastAsia"/>
          <w:bCs/>
          <w:sz w:val="30"/>
          <w:szCs w:val="30"/>
        </w:rPr>
        <w:t>库按照</w:t>
      </w:r>
      <w:proofErr w:type="gramEnd"/>
      <w:r>
        <w:rPr>
          <w:rFonts w:ascii="仿宋_GB2312" w:eastAsia="仿宋_GB2312" w:hAnsi="等线" w:cs="Times New Roman" w:hint="eastAsia"/>
          <w:bCs/>
          <w:sz w:val="30"/>
          <w:szCs w:val="30"/>
        </w:rPr>
        <w:t>区科信局发放的通知模板进行填写</w:t>
      </w:r>
      <w:r>
        <w:rPr>
          <w:rFonts w:ascii="仿宋_GB2312" w:eastAsia="仿宋_GB2312" w:hAnsi="等线" w:cs="Times New Roman"/>
          <w:bCs/>
          <w:sz w:val="30"/>
          <w:szCs w:val="30"/>
        </w:rPr>
        <w:t>。</w:t>
      </w:r>
    </w:p>
    <w:p w14:paraId="1F09AE16"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lastRenderedPageBreak/>
        <w:t>（二）拥有职业化的孵化服务人才队伍，专业孵化服务人员占机构人数80%以上，每10家在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至少拥有1名专业孵化服务人员及1名创业导师。</w:t>
      </w:r>
    </w:p>
    <w:p w14:paraId="077CC4B3"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
          <w:bCs/>
          <w:sz w:val="30"/>
          <w:szCs w:val="30"/>
        </w:rPr>
        <w:t>专业孵化服务人员</w:t>
      </w:r>
      <w:r>
        <w:rPr>
          <w:rFonts w:ascii="仿宋_GB2312" w:eastAsia="仿宋_GB2312" w:hAnsi="等线" w:cs="Times New Roman" w:hint="eastAsia"/>
          <w:bCs/>
          <w:sz w:val="30"/>
          <w:szCs w:val="30"/>
        </w:rPr>
        <w:t>是指具有创业、投融资、企业管理等经验或经过创业服务相关培训的孵化器专职工作人员。</w:t>
      </w:r>
      <w:r>
        <w:rPr>
          <w:rFonts w:ascii="仿宋_GB2312" w:eastAsia="仿宋_GB2312" w:hAnsi="等线" w:cs="Times New Roman" w:hint="eastAsia"/>
          <w:b/>
          <w:bCs/>
          <w:sz w:val="30"/>
          <w:szCs w:val="30"/>
        </w:rPr>
        <w:t>创业导师</w:t>
      </w:r>
      <w:r>
        <w:rPr>
          <w:rFonts w:ascii="仿宋_GB2312" w:eastAsia="仿宋_GB2312" w:hAnsi="等线" w:cs="Times New Roman" w:hint="eastAsia"/>
          <w:bCs/>
          <w:sz w:val="30"/>
          <w:szCs w:val="30"/>
        </w:rPr>
        <w:t>是指接受科技部门、行业协会或孵化器的聘任，能对科技型中小企业、创业者提供导向性、专业性、实践性辅导服务的企业家、科技成果转化专家、投资专家、管理咨询专家等。</w:t>
      </w:r>
    </w:p>
    <w:p w14:paraId="455425B1" w14:textId="77777777" w:rsidR="0031243B" w:rsidRDefault="000014E9">
      <w:pPr>
        <w:spacing w:line="560" w:lineRule="exact"/>
        <w:ind w:firstLineChars="200" w:firstLine="600"/>
        <w:rPr>
          <w:rFonts w:ascii="仿宋_GB2312" w:eastAsia="仿宋_GB2312" w:hAnsi="等线" w:cs="Times New Roman"/>
          <w:bCs/>
          <w:sz w:val="30"/>
          <w:szCs w:val="30"/>
        </w:rPr>
      </w:pPr>
      <w:r>
        <w:rPr>
          <w:rFonts w:ascii="仿宋_GB2312" w:eastAsia="仿宋_GB2312" w:hAnsi="等线" w:cs="Times New Roman" w:hint="eastAsia"/>
          <w:bCs/>
          <w:sz w:val="30"/>
          <w:szCs w:val="30"/>
        </w:rPr>
        <w:t>（三）孵化场地集中，可自主支配的孵化场地面积不低于5000平方米。其中在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使用面积（含公共服务面积）占75%以上，在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总数不低于20家，年度毕业企业数占在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数的15%以上。</w:t>
      </w:r>
    </w:p>
    <w:p w14:paraId="440B3F7D"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（四）在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中已申请专利的企业占在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总数比例不低于30%或拥有有效知识产权的企业该比例不低于20%。</w:t>
      </w:r>
    </w:p>
    <w:p w14:paraId="15ECF6BA" w14:textId="77777777" w:rsidR="0031243B" w:rsidRDefault="000014E9">
      <w:pPr>
        <w:widowControl/>
        <w:spacing w:line="560" w:lineRule="exact"/>
        <w:ind w:firstLine="599"/>
        <w:rPr>
          <w:rFonts w:ascii="仿宋_GB2312" w:eastAsia="仿宋_GB2312" w:hAnsi="等线" w:cs="Times New Roman"/>
          <w:bCs/>
          <w:color w:val="000000" w:themeColor="text1"/>
          <w:sz w:val="30"/>
          <w:szCs w:val="30"/>
        </w:rPr>
      </w:pPr>
      <w:r>
        <w:rPr>
          <w:rFonts w:ascii="仿宋_GB2312" w:eastAsia="仿宋_GB2312" w:hAnsi="等线" w:cs="Times New Roman" w:hint="eastAsia"/>
          <w:b/>
          <w:bCs/>
          <w:color w:val="000000" w:themeColor="text1"/>
          <w:sz w:val="30"/>
          <w:szCs w:val="30"/>
        </w:rPr>
        <w:t>专利</w:t>
      </w:r>
      <w:r>
        <w:rPr>
          <w:rFonts w:ascii="仿宋_GB2312" w:eastAsia="仿宋_GB2312" w:hAnsi="等线" w:cs="Times New Roman" w:hint="eastAsia"/>
          <w:bCs/>
          <w:color w:val="000000" w:themeColor="text1"/>
          <w:sz w:val="30"/>
          <w:szCs w:val="30"/>
        </w:rPr>
        <w:t>包括发明专利、实用新型专利、外观专利。</w:t>
      </w:r>
    </w:p>
    <w:p w14:paraId="56C5D6FE" w14:textId="77777777" w:rsidR="0031243B" w:rsidRDefault="000014E9">
      <w:pPr>
        <w:widowControl/>
        <w:spacing w:line="560" w:lineRule="exact"/>
        <w:ind w:firstLine="599"/>
        <w:rPr>
          <w:rFonts w:ascii="仿宋_GB2312" w:eastAsia="仿宋_GB2312" w:hAnsi="等线" w:cs="Times New Roman"/>
          <w:bCs/>
          <w:color w:val="000000" w:themeColor="text1"/>
          <w:sz w:val="30"/>
          <w:szCs w:val="30"/>
        </w:rPr>
      </w:pPr>
      <w:r>
        <w:rPr>
          <w:rFonts w:ascii="仿宋_GB2312" w:eastAsia="仿宋_GB2312" w:hAnsi="等线" w:cs="Times New Roman" w:hint="eastAsia"/>
          <w:b/>
          <w:bCs/>
          <w:color w:val="000000" w:themeColor="text1"/>
          <w:sz w:val="30"/>
          <w:szCs w:val="30"/>
        </w:rPr>
        <w:t>拥有知识产权</w:t>
      </w:r>
      <w:r>
        <w:rPr>
          <w:rFonts w:ascii="仿宋_GB2312" w:eastAsia="仿宋_GB2312" w:hAnsi="等线" w:cs="Times New Roman" w:hint="eastAsia"/>
          <w:bCs/>
          <w:color w:val="000000" w:themeColor="text1"/>
          <w:sz w:val="30"/>
          <w:szCs w:val="30"/>
        </w:rPr>
        <w:t>应为入</w:t>
      </w:r>
      <w:proofErr w:type="gramStart"/>
      <w:r>
        <w:rPr>
          <w:rFonts w:ascii="仿宋_GB2312" w:eastAsia="仿宋_GB2312" w:hAnsi="等线" w:cs="Times New Roman" w:hint="eastAsia"/>
          <w:bCs/>
          <w:color w:val="000000" w:themeColor="text1"/>
          <w:sz w:val="30"/>
          <w:szCs w:val="30"/>
        </w:rPr>
        <w:t>孵企业</w:t>
      </w:r>
      <w:proofErr w:type="gramEnd"/>
      <w:r>
        <w:rPr>
          <w:rFonts w:ascii="仿宋_GB2312" w:eastAsia="仿宋_GB2312" w:hAnsi="等线" w:cs="Times New Roman" w:hint="eastAsia"/>
          <w:bCs/>
          <w:color w:val="000000" w:themeColor="text1"/>
          <w:sz w:val="30"/>
          <w:szCs w:val="30"/>
        </w:rPr>
        <w:t>作为知识产权权利人。</w:t>
      </w:r>
    </w:p>
    <w:p w14:paraId="38E5BF24" w14:textId="77777777" w:rsidR="0031243B" w:rsidRDefault="000014E9">
      <w:pPr>
        <w:widowControl/>
        <w:spacing w:line="560" w:lineRule="exact"/>
        <w:ind w:firstLine="599"/>
        <w:rPr>
          <w:rFonts w:ascii="仿宋_GB2312" w:eastAsia="仿宋_GB2312" w:hAnsi="等线" w:cs="Times New Roman"/>
          <w:bCs/>
          <w:color w:val="000000" w:themeColor="text1"/>
          <w:sz w:val="30"/>
          <w:szCs w:val="30"/>
        </w:rPr>
      </w:pPr>
      <w:r>
        <w:rPr>
          <w:rFonts w:ascii="仿宋_GB2312" w:eastAsia="仿宋_GB2312" w:hAnsi="等线" w:cs="Times New Roman" w:hint="eastAsia"/>
          <w:b/>
          <w:bCs/>
          <w:color w:val="000000" w:themeColor="text1"/>
          <w:sz w:val="30"/>
          <w:szCs w:val="30"/>
        </w:rPr>
        <w:t>知识产权</w:t>
      </w:r>
      <w:r>
        <w:rPr>
          <w:rFonts w:ascii="仿宋_GB2312" w:eastAsia="仿宋_GB2312" w:hAnsi="等线" w:cs="Times New Roman" w:hint="eastAsia"/>
          <w:bCs/>
          <w:color w:val="000000" w:themeColor="text1"/>
          <w:sz w:val="30"/>
          <w:szCs w:val="30"/>
        </w:rPr>
        <w:t>包括：专利权、商标权、著作权（版权）。</w:t>
      </w:r>
    </w:p>
    <w:p w14:paraId="23DBE9F7"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（五）孵化器自有种子资金或合作的孵化资金用于在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投融资；获得投融资的在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占在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总数的比例不低于10%，并提供不少于2个重点投融资案例。</w:t>
      </w:r>
    </w:p>
    <w:p w14:paraId="4220FD4C"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（六）在同一产业领域从事研发、生产的企业占在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总数的75%以上，且提供细分产业的精准孵化服务，拥有可自主支配的公共服务平台，能够提供研究开发、检验检测、小试中试等</w:t>
      </w:r>
      <w:r>
        <w:rPr>
          <w:rFonts w:ascii="仿宋_GB2312" w:eastAsia="仿宋_GB2312" w:hAnsi="等线" w:cs="Times New Roman" w:hint="eastAsia"/>
          <w:bCs/>
          <w:sz w:val="30"/>
          <w:szCs w:val="30"/>
        </w:rPr>
        <w:lastRenderedPageBreak/>
        <w:t>专业技术服务的可按专业孵化器进行认定管理。专业孵化器内在</w:t>
      </w:r>
      <w:proofErr w:type="gramStart"/>
      <w:r>
        <w:rPr>
          <w:rFonts w:ascii="仿宋_GB2312" w:eastAsia="仿宋_GB2312" w:hAnsi="等线" w:cs="Times New Roman" w:hint="eastAsia"/>
          <w:bCs/>
          <w:sz w:val="30"/>
          <w:szCs w:val="30"/>
        </w:rPr>
        <w:t>孵</w:t>
      </w:r>
      <w:proofErr w:type="gramEnd"/>
      <w:r>
        <w:rPr>
          <w:rFonts w:ascii="仿宋_GB2312" w:eastAsia="仿宋_GB2312" w:hAnsi="等线" w:cs="Times New Roman" w:hint="eastAsia"/>
          <w:bCs/>
          <w:sz w:val="30"/>
          <w:szCs w:val="30"/>
        </w:rPr>
        <w:t>企业不少于15家。</w:t>
      </w:r>
    </w:p>
    <w:p w14:paraId="49F44E66"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
          <w:bCs/>
          <w:sz w:val="30"/>
          <w:szCs w:val="30"/>
        </w:rPr>
        <w:t>专业孵化器</w:t>
      </w:r>
      <w:r>
        <w:rPr>
          <w:rFonts w:ascii="仿宋_GB2312" w:eastAsia="仿宋_GB2312" w:hAnsi="等线" w:cs="Times New Roman" w:hint="eastAsia"/>
          <w:bCs/>
          <w:sz w:val="30"/>
          <w:szCs w:val="30"/>
        </w:rPr>
        <w:t>是选取特定技术领域开展创业孵化服务，服务对象主要来自于与之一致的特定专业技术领域，孵化机构匹配相应的专业资源，开展相应的专业孵化活动。</w:t>
      </w:r>
    </w:p>
    <w:p w14:paraId="0E0C908D"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（七）在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应具备以下条件:</w:t>
      </w:r>
    </w:p>
    <w:p w14:paraId="76774B8C"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1.企业注册地、办公场所须在本孵化器场地内,入驻时成立时间不超过24个月；</w:t>
      </w:r>
    </w:p>
    <w:p w14:paraId="1EA71507"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2.企业孵化时间不超过48个月,从事生物医药、集成电路等特殊领域的创业企业,孵化时间不超过60个月；</w:t>
      </w:r>
    </w:p>
    <w:p w14:paraId="41983455" w14:textId="77777777" w:rsidR="0031243B" w:rsidRDefault="000014E9">
      <w:pPr>
        <w:widowControl/>
        <w:spacing w:line="560" w:lineRule="exact"/>
        <w:ind w:firstLine="599"/>
        <w:rPr>
          <w:rFonts w:ascii="仿宋_GB2312" w:eastAsia="仿宋_GB2312" w:hAnsi="仿宋"/>
          <w:sz w:val="32"/>
          <w:szCs w:val="32"/>
        </w:rPr>
      </w:pPr>
      <w:r>
        <w:rPr>
          <w:rFonts w:ascii="仿宋_GB2312" w:eastAsia="仿宋_GB2312" w:hAnsi="等线" w:cs="Times New Roman" w:hint="eastAsia"/>
          <w:bCs/>
          <w:sz w:val="30"/>
          <w:szCs w:val="30"/>
        </w:rPr>
        <w:t>3.企业主要从事新技术、新产品的研发,并将其转化为高新技术产品和服务,应满足科技型中小企业相关要求。</w:t>
      </w:r>
    </w:p>
    <w:p w14:paraId="5B8FBBB6"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（八）企业从孵化器中毕业应至少符合以下条件中的一项：</w:t>
      </w:r>
    </w:p>
    <w:p w14:paraId="26A3A978"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1.经国家备案通过的高新技术企业;</w:t>
      </w:r>
    </w:p>
    <w:p w14:paraId="2C13EAF0"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2.累计获得天使投资或风险投资超过500万元；</w:t>
      </w:r>
    </w:p>
    <w:p w14:paraId="3112A7D1"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3.连续2年营业收入累计超过1000万元;</w:t>
      </w:r>
    </w:p>
    <w:p w14:paraId="3B276223"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4.被兼并、收购或在国内外资本市场挂牌、上市。</w:t>
      </w:r>
    </w:p>
    <w:p w14:paraId="7A049827" w14:textId="77777777" w:rsidR="0031243B" w:rsidRDefault="000014E9">
      <w:pPr>
        <w:spacing w:line="560" w:lineRule="exact"/>
        <w:ind w:firstLineChars="200" w:firstLine="600"/>
        <w:rPr>
          <w:rFonts w:ascii="黑体" w:eastAsia="黑体" w:hAnsi="黑体" w:cs="Times New Roman"/>
          <w:bCs/>
          <w:sz w:val="30"/>
          <w:szCs w:val="30"/>
        </w:rPr>
      </w:pPr>
      <w:r>
        <w:rPr>
          <w:rFonts w:ascii="黑体" w:eastAsia="黑体" w:hAnsi="黑体" w:cs="Times New Roman" w:hint="eastAsia"/>
          <w:bCs/>
          <w:sz w:val="30"/>
          <w:szCs w:val="30"/>
        </w:rPr>
        <w:t>二、申报与管理</w:t>
      </w:r>
    </w:p>
    <w:p w14:paraId="489C7A24"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（一）区科信局委托第三</w:t>
      </w:r>
      <w:proofErr w:type="gramStart"/>
      <w:r>
        <w:rPr>
          <w:rFonts w:ascii="仿宋_GB2312" w:eastAsia="仿宋_GB2312" w:hAnsi="等线" w:cs="Times New Roman" w:hint="eastAsia"/>
          <w:bCs/>
          <w:sz w:val="30"/>
          <w:szCs w:val="30"/>
        </w:rPr>
        <w:t>方社会</w:t>
      </w:r>
      <w:proofErr w:type="gramEnd"/>
      <w:r>
        <w:rPr>
          <w:rFonts w:ascii="仿宋_GB2312" w:eastAsia="仿宋_GB2312" w:hAnsi="等线" w:cs="Times New Roman" w:hint="eastAsia"/>
          <w:bCs/>
          <w:sz w:val="30"/>
          <w:szCs w:val="30"/>
        </w:rPr>
        <w:t>专业服务机构实施区内科技企业孵化机构认定评审工作，并组织专家评审和实地核查,评审结果向社会公示,并发布丰台区区级科技企业孵化机构名单。</w:t>
      </w:r>
    </w:p>
    <w:p w14:paraId="4547ACAB" w14:textId="77777777" w:rsidR="0031243B" w:rsidRDefault="000014E9">
      <w:pPr>
        <w:widowControl/>
        <w:spacing w:line="560" w:lineRule="exact"/>
        <w:ind w:firstLine="599"/>
        <w:rPr>
          <w:rFonts w:ascii="仿宋_GB2312" w:eastAsia="仿宋_GB2312" w:hAnsi="等线" w:cs="Times New Roman"/>
          <w:bCs/>
          <w:sz w:val="30"/>
          <w:szCs w:val="30"/>
        </w:rPr>
      </w:pPr>
      <w:bookmarkStart w:id="0" w:name="OLE_LINK1"/>
      <w:r>
        <w:rPr>
          <w:rFonts w:ascii="仿宋_GB2312" w:eastAsia="仿宋_GB2312" w:hAnsi="等线" w:cs="Times New Roman" w:hint="eastAsia"/>
          <w:bCs/>
          <w:sz w:val="30"/>
          <w:szCs w:val="30"/>
        </w:rPr>
        <w:t>（二）区科信局对区级孵化机构每2年进行一次复核，复核条件与认定一致。复核不合格的孵化机构，三个月内提出再复核</w:t>
      </w:r>
      <w:r>
        <w:rPr>
          <w:rFonts w:ascii="仿宋_GB2312" w:eastAsia="仿宋_GB2312" w:hAnsi="等线" w:cs="Times New Roman" w:hint="eastAsia"/>
          <w:bCs/>
          <w:sz w:val="30"/>
          <w:szCs w:val="30"/>
        </w:rPr>
        <w:lastRenderedPageBreak/>
        <w:t>申请, 整改期不超过6个月,满足条件的可复核通过；未提出再复核申请或整改不满足条件的，取消其区级孵化机构资格。</w:t>
      </w:r>
    </w:p>
    <w:p w14:paraId="0F964411"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（三）经认定的区级孵化机构的经营场地（地址、面积）、单位名称、运营主体、股权结构、经营方向、法人代表或总经理等发生变化时，应在3个月内向区科信局备案，由区科信局再次确认其孵化机构资格。</w:t>
      </w:r>
    </w:p>
    <w:p w14:paraId="2C90C757"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四）区科信局对工商注册、税务登记、经营场地迁出丰台区的区级科技企业孵化机构，自迁出之日起取消其区级孵化机构认定资格；如孵化机构出现申报、复核不实或违规违纪等问题，区科信局将据实核查，对问题属实的取消其孵化机构资格，2年内不得再次申报。</w:t>
      </w:r>
    </w:p>
    <w:bookmarkEnd w:id="0"/>
    <w:p w14:paraId="5F6137B0" w14:textId="77777777" w:rsidR="0031243B" w:rsidRDefault="000014E9">
      <w:pPr>
        <w:spacing w:line="560" w:lineRule="exact"/>
        <w:ind w:firstLineChars="200" w:firstLine="600"/>
        <w:rPr>
          <w:rFonts w:ascii="黑体" w:eastAsia="黑体" w:hAnsi="黑体" w:cs="Times New Roman"/>
          <w:bCs/>
          <w:sz w:val="30"/>
          <w:szCs w:val="30"/>
        </w:rPr>
      </w:pPr>
      <w:r>
        <w:rPr>
          <w:rFonts w:ascii="黑体" w:eastAsia="黑体" w:hAnsi="黑体" w:cs="Times New Roman" w:hint="eastAsia"/>
          <w:bCs/>
          <w:sz w:val="30"/>
          <w:szCs w:val="30"/>
        </w:rPr>
        <w:t>三、申报材料</w:t>
      </w:r>
    </w:p>
    <w:p w14:paraId="3B61C037"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（一）《丰台区区级科技企业孵化器认定情况汇报》（详见附件1）；</w:t>
      </w:r>
    </w:p>
    <w:p w14:paraId="3A839B3E"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（二）《丰台区区级科技企业孵化器认定申请表》 （详见附件2） ；</w:t>
      </w:r>
    </w:p>
    <w:p w14:paraId="12B4C58C"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（三）《丰台区科技企业孵化器认定申报材料承诺书》（详见附件3）；</w:t>
      </w:r>
    </w:p>
    <w:p w14:paraId="67940008"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（四）《丰台区科技企业孵化器情况汇总表》（详见附件4）；</w:t>
      </w:r>
    </w:p>
    <w:p w14:paraId="318B8EB8"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（五）《丰台区孵化机构整合的各类科技服务机构库》（详见附件5）；</w:t>
      </w:r>
    </w:p>
    <w:p w14:paraId="46FB0C09"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（六）《丰台区孵化机构重点项目库》（详见附件6），在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核心技术及主营产品（服务）介绍；</w:t>
      </w:r>
    </w:p>
    <w:p w14:paraId="03A8A956"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（七）丰台区孵化机构品牌活动库（详见附件7）；</w:t>
      </w:r>
    </w:p>
    <w:p w14:paraId="2F44A996"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lastRenderedPageBreak/>
        <w:t>（八）孵化器运营主体营业执照副本复印件；</w:t>
      </w:r>
    </w:p>
    <w:p w14:paraId="5FEFCF15"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（九）孵化器运营主体上年度资产负债表、损益表、现金流量表；</w:t>
      </w:r>
    </w:p>
    <w:p w14:paraId="6368B9C0"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（十）孵化资金证明文件；</w:t>
      </w:r>
    </w:p>
    <w:p w14:paraId="78DBDF19"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（十一）孵化器在平台建设或资源整合方面的费用投入证明文件；</w:t>
      </w:r>
    </w:p>
    <w:p w14:paraId="31D06B3B"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（十二）孵化器在科研条件、技术转移、专业融投资、专业咨询、市场推广等方面相应服务能力的服务案例；</w:t>
      </w:r>
    </w:p>
    <w:p w14:paraId="0FBE3552"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（十三）孵化器负责人及运营管理团队名录及学历学位证书复印件；</w:t>
      </w:r>
    </w:p>
    <w:p w14:paraId="6A1FF341"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（十四）《获得创业孵化管理类相关证书情况汇总表》（详见附件8）,管理人员获得创业孵化管理类相关证书的证明文件复印件；</w:t>
      </w:r>
    </w:p>
    <w:p w14:paraId="7909F080"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（十五）孵化场地产权证明复印件加盖产权方公章。孵化场地属租用、合作及无偿使用的，除提供产权方产权证明外，还需提供相关协议或文件说明；</w:t>
      </w:r>
    </w:p>
    <w:p w14:paraId="48FE382C"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（十六）孵化场地平面图；</w:t>
      </w:r>
    </w:p>
    <w:p w14:paraId="59038F22"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（十七）《丰台区科技企业孵化器在孵企业名录》 （详见附件9） ；</w:t>
      </w:r>
    </w:p>
    <w:p w14:paraId="16FAC7C2"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（十八）2-3个成功孵化案例；</w:t>
      </w:r>
    </w:p>
    <w:p w14:paraId="37C4B79F" w14:textId="77777777" w:rsidR="0031243B" w:rsidRDefault="000014E9">
      <w:pPr>
        <w:widowControl/>
        <w:spacing w:line="560" w:lineRule="exact"/>
        <w:ind w:firstLine="599"/>
        <w:rPr>
          <w:rFonts w:ascii="仿宋_GB2312" w:eastAsia="仿宋_GB2312" w:hAnsi="等线" w:cs="Times New Roman"/>
          <w:bCs/>
          <w:sz w:val="30"/>
          <w:szCs w:val="30"/>
        </w:rPr>
      </w:pPr>
      <w:bookmarkStart w:id="1" w:name="OLE_LINK2"/>
      <w:r>
        <w:rPr>
          <w:rFonts w:ascii="仿宋_GB2312" w:eastAsia="仿宋_GB2312" w:hAnsi="等线" w:cs="Times New Roman" w:hint="eastAsia"/>
          <w:bCs/>
          <w:sz w:val="30"/>
          <w:szCs w:val="30"/>
        </w:rPr>
        <w:t>（十九）</w:t>
      </w:r>
      <w:bookmarkEnd w:id="1"/>
      <w:r>
        <w:rPr>
          <w:rFonts w:ascii="仿宋_GB2312" w:eastAsia="仿宋_GB2312" w:hAnsi="等线" w:cs="Times New Roman" w:hint="eastAsia"/>
          <w:bCs/>
          <w:sz w:val="30"/>
          <w:szCs w:val="30"/>
        </w:rPr>
        <w:t>《丰台区科技企业孵化器毕业企业名录》 （详见附件10） ；</w:t>
      </w:r>
    </w:p>
    <w:p w14:paraId="23CB0F0A"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（二十）不少于20家在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入驻协议或合同;</w:t>
      </w:r>
    </w:p>
    <w:p w14:paraId="4561FAB1"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（二十一）孵化器相关章程、制度等;</w:t>
      </w:r>
    </w:p>
    <w:p w14:paraId="2B188927"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lastRenderedPageBreak/>
        <w:t>（二十二）孵化器在国际或京津</w:t>
      </w:r>
      <w:proofErr w:type="gramStart"/>
      <w:r>
        <w:rPr>
          <w:rFonts w:ascii="仿宋_GB2312" w:eastAsia="仿宋_GB2312" w:hAnsi="等线" w:cs="Times New Roman" w:hint="eastAsia"/>
          <w:bCs/>
          <w:sz w:val="30"/>
          <w:szCs w:val="30"/>
        </w:rPr>
        <w:t>冀区域</w:t>
      </w:r>
      <w:proofErr w:type="gramEnd"/>
      <w:r>
        <w:rPr>
          <w:rFonts w:ascii="仿宋_GB2312" w:eastAsia="仿宋_GB2312" w:hAnsi="等线" w:cs="Times New Roman" w:hint="eastAsia"/>
          <w:bCs/>
          <w:sz w:val="30"/>
          <w:szCs w:val="30"/>
        </w:rPr>
        <w:t>开展合作情况简介；</w:t>
      </w:r>
    </w:p>
    <w:p w14:paraId="4577288C"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（二十三）在</w:t>
      </w:r>
      <w:proofErr w:type="gramStart"/>
      <w:r>
        <w:rPr>
          <w:rFonts w:ascii="仿宋_GB2312" w:eastAsia="仿宋_GB2312" w:hAnsi="等线" w:cs="Times New Roman" w:hint="eastAsia"/>
          <w:bCs/>
          <w:sz w:val="30"/>
          <w:szCs w:val="30"/>
        </w:rPr>
        <w:t>孵企业</w:t>
      </w:r>
      <w:proofErr w:type="gramEnd"/>
      <w:r>
        <w:rPr>
          <w:rFonts w:ascii="仿宋_GB2312" w:eastAsia="仿宋_GB2312" w:hAnsi="等线" w:cs="Times New Roman" w:hint="eastAsia"/>
          <w:bCs/>
          <w:sz w:val="30"/>
          <w:szCs w:val="30"/>
        </w:rPr>
        <w:t>营业执照副本复印件；</w:t>
      </w:r>
    </w:p>
    <w:p w14:paraId="62693920" w14:textId="77777777" w:rsidR="0031243B" w:rsidRDefault="000014E9">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（二十四）运营主体无不良信用记录的材料，通过国家企业信用信息公示系统（www.gsxt.gov.cn）打印的企业信用信息记录,</w:t>
      </w:r>
      <w:proofErr w:type="gramStart"/>
      <w:r>
        <w:rPr>
          <w:rFonts w:ascii="仿宋_GB2312" w:eastAsia="仿宋_GB2312" w:hAnsi="等线" w:cs="Times New Roman" w:hint="eastAsia"/>
          <w:bCs/>
          <w:sz w:val="30"/>
          <w:szCs w:val="30"/>
        </w:rPr>
        <w:t>含行政</w:t>
      </w:r>
      <w:proofErr w:type="gramEnd"/>
      <w:r>
        <w:rPr>
          <w:rFonts w:ascii="仿宋_GB2312" w:eastAsia="仿宋_GB2312" w:hAnsi="等线" w:cs="Times New Roman" w:hint="eastAsia"/>
          <w:bCs/>
          <w:sz w:val="30"/>
          <w:szCs w:val="30"/>
        </w:rPr>
        <w:t>处罚信息、列入经营异常名录信息 、列入严重违法失信企业名单（黑名单信息）和运营主体无不良信用记录的声明。以上材料，需加盖申报单位公章。</w:t>
      </w:r>
    </w:p>
    <w:p w14:paraId="35D05B41" w14:textId="77777777" w:rsidR="0031243B" w:rsidRDefault="000014E9">
      <w:pPr>
        <w:spacing w:line="560" w:lineRule="exact"/>
        <w:ind w:firstLineChars="200" w:firstLine="600"/>
        <w:rPr>
          <w:rFonts w:ascii="仿宋_GB2312" w:eastAsia="仿宋_GB2312" w:hAnsi="等线" w:cs="Times New Roman"/>
          <w:bCs/>
          <w:sz w:val="30"/>
          <w:szCs w:val="30"/>
        </w:rPr>
      </w:pPr>
      <w:r>
        <w:rPr>
          <w:rFonts w:ascii="仿宋_GB2312" w:eastAsia="仿宋_GB2312" w:hAnsi="等线" w:cs="Times New Roman" w:hint="eastAsia"/>
          <w:bCs/>
          <w:sz w:val="30"/>
          <w:szCs w:val="30"/>
        </w:rPr>
        <w:t>以上纸质材料要求一式五份，一律使用A4纸，编排目录及页码，不同类型的附件材料之间用彩页隔开，并在彩页上注明是附件类型。所有材料合并胶装成册，并提供原件进行审核，根据申报要求加盖单位公章和骑缝章；同时报送电子版材料发送至</w:t>
      </w:r>
      <w:hyperlink r:id="rId8" w:history="1">
        <w:r>
          <w:rPr>
            <w:rFonts w:ascii="仿宋_GB2312" w:eastAsia="仿宋_GB2312" w:hAnsi="等线" w:cs="Times New Roman" w:hint="eastAsia"/>
            <w:bCs/>
            <w:sz w:val="30"/>
            <w:szCs w:val="30"/>
          </w:rPr>
          <w:t>zqk@gk-hj.cn</w:t>
        </w:r>
      </w:hyperlink>
      <w:r>
        <w:rPr>
          <w:rFonts w:ascii="仿宋_GB2312" w:eastAsia="仿宋_GB2312" w:hAnsi="等线" w:cs="Times New Roman" w:hint="eastAsia"/>
          <w:bCs/>
          <w:sz w:val="30"/>
          <w:szCs w:val="30"/>
        </w:rPr>
        <w:t>。</w:t>
      </w:r>
    </w:p>
    <w:p w14:paraId="47A6D43D" w14:textId="77777777" w:rsidR="0031243B" w:rsidRDefault="0031243B">
      <w:pPr>
        <w:widowControl/>
        <w:spacing w:line="560" w:lineRule="exact"/>
        <w:ind w:firstLine="599"/>
        <w:rPr>
          <w:rFonts w:ascii="仿宋" w:eastAsia="仿宋" w:hAnsi="仿宋" w:cs="仿宋_GB2312"/>
          <w:sz w:val="28"/>
          <w:szCs w:val="28"/>
        </w:rPr>
      </w:pPr>
    </w:p>
    <w:p w14:paraId="22B03933" w14:textId="77777777" w:rsidR="0031243B" w:rsidRDefault="0031243B">
      <w:pPr>
        <w:widowControl/>
        <w:spacing w:line="560" w:lineRule="exact"/>
        <w:ind w:firstLine="599"/>
        <w:rPr>
          <w:rFonts w:ascii="仿宋" w:eastAsia="仿宋" w:hAnsi="仿宋" w:cs="仿宋_GB2312"/>
          <w:sz w:val="28"/>
          <w:szCs w:val="28"/>
        </w:rPr>
      </w:pPr>
    </w:p>
    <w:p w14:paraId="6C81EAB8" w14:textId="77777777" w:rsidR="0031243B" w:rsidRDefault="0031243B">
      <w:pPr>
        <w:widowControl/>
        <w:spacing w:line="560" w:lineRule="exact"/>
        <w:ind w:firstLine="599"/>
        <w:rPr>
          <w:rFonts w:ascii="仿宋" w:eastAsia="仿宋" w:hAnsi="仿宋" w:cs="仿宋_GB2312"/>
          <w:sz w:val="28"/>
          <w:szCs w:val="28"/>
        </w:rPr>
      </w:pPr>
    </w:p>
    <w:p w14:paraId="3AB26EC7" w14:textId="77777777" w:rsidR="0031243B" w:rsidRDefault="000014E9">
      <w:pPr>
        <w:widowControl/>
        <w:spacing w:line="560" w:lineRule="exact"/>
        <w:ind w:right="300" w:firstLine="599"/>
        <w:jc w:val="right"/>
        <w:rPr>
          <w:rFonts w:ascii="仿宋_GB2312" w:eastAsia="仿宋_GB2312" w:hAnsi="等线" w:cs="Times New Roman"/>
          <w:bCs/>
          <w:sz w:val="30"/>
          <w:szCs w:val="30"/>
        </w:rPr>
      </w:pPr>
      <w:r>
        <w:rPr>
          <w:rFonts w:ascii="仿宋_GB2312" w:eastAsia="仿宋_GB2312" w:hAnsi="等线" w:cs="Times New Roman" w:hint="eastAsia"/>
          <w:bCs/>
          <w:sz w:val="30"/>
          <w:szCs w:val="30"/>
        </w:rPr>
        <w:t>丰台区科信局</w:t>
      </w:r>
    </w:p>
    <w:p w14:paraId="1E11E2DB" w14:textId="15F4AEDA" w:rsidR="0031243B" w:rsidRDefault="000014E9">
      <w:pPr>
        <w:widowControl/>
        <w:spacing w:line="560" w:lineRule="exact"/>
        <w:ind w:firstLine="599"/>
        <w:jc w:val="right"/>
        <w:rPr>
          <w:rFonts w:ascii="仿宋_GB2312" w:eastAsia="仿宋_GB2312" w:hAnsi="等线" w:cs="Times New Roman"/>
          <w:bCs/>
          <w:sz w:val="30"/>
          <w:szCs w:val="30"/>
        </w:rPr>
      </w:pPr>
      <w:r>
        <w:rPr>
          <w:rFonts w:ascii="仿宋_GB2312" w:eastAsia="仿宋_GB2312" w:hAnsi="等线" w:cs="Times New Roman" w:hint="eastAsia"/>
          <w:bCs/>
          <w:sz w:val="30"/>
          <w:szCs w:val="30"/>
        </w:rPr>
        <w:t xml:space="preserve">                                  </w:t>
      </w:r>
      <w:r>
        <w:rPr>
          <w:rFonts w:ascii="仿宋_GB2312" w:eastAsia="仿宋_GB2312" w:hAnsi="等线" w:cs="Times New Roman"/>
          <w:bCs/>
          <w:sz w:val="30"/>
          <w:szCs w:val="30"/>
        </w:rPr>
        <w:t>202</w:t>
      </w:r>
      <w:r>
        <w:rPr>
          <w:rFonts w:ascii="仿宋_GB2312" w:eastAsia="仿宋_GB2312" w:hAnsi="等线" w:cs="Times New Roman" w:hint="eastAsia"/>
          <w:bCs/>
          <w:sz w:val="30"/>
          <w:szCs w:val="30"/>
        </w:rPr>
        <w:t>4年</w:t>
      </w:r>
      <w:r w:rsidR="008A6452">
        <w:rPr>
          <w:rFonts w:ascii="仿宋_GB2312" w:eastAsia="仿宋_GB2312" w:hAnsi="等线" w:cs="Times New Roman" w:hint="eastAsia"/>
          <w:bCs/>
          <w:sz w:val="30"/>
          <w:szCs w:val="30"/>
        </w:rPr>
        <w:t>9</w:t>
      </w:r>
      <w:r>
        <w:rPr>
          <w:rFonts w:ascii="仿宋_GB2312" w:eastAsia="仿宋_GB2312" w:hAnsi="等线" w:cs="Times New Roman" w:hint="eastAsia"/>
          <w:bCs/>
          <w:sz w:val="30"/>
          <w:szCs w:val="30"/>
        </w:rPr>
        <w:t>月</w:t>
      </w:r>
      <w:r w:rsidR="008A6452">
        <w:rPr>
          <w:rFonts w:ascii="仿宋_GB2312" w:eastAsia="仿宋_GB2312" w:hAnsi="等线" w:cs="Times New Roman" w:hint="eastAsia"/>
          <w:bCs/>
          <w:sz w:val="30"/>
          <w:szCs w:val="30"/>
        </w:rPr>
        <w:t>5</w:t>
      </w:r>
      <w:bookmarkStart w:id="2" w:name="_GoBack"/>
      <w:bookmarkEnd w:id="2"/>
      <w:r>
        <w:rPr>
          <w:rFonts w:ascii="仿宋_GB2312" w:eastAsia="仿宋_GB2312" w:hAnsi="等线" w:cs="Times New Roman" w:hint="eastAsia"/>
          <w:bCs/>
          <w:sz w:val="30"/>
          <w:szCs w:val="30"/>
        </w:rPr>
        <w:t>日</w:t>
      </w:r>
    </w:p>
    <w:p w14:paraId="5B0800E4" w14:textId="77777777" w:rsidR="0031243B" w:rsidRDefault="0031243B">
      <w:pPr>
        <w:snapToGrid w:val="0"/>
        <w:spacing w:line="560" w:lineRule="exact"/>
        <w:ind w:firstLineChars="200" w:firstLine="560"/>
        <w:rPr>
          <w:rFonts w:ascii="仿宋" w:eastAsia="仿宋" w:hAnsi="仿宋" w:cs="仿宋_GB2312"/>
          <w:sz w:val="28"/>
          <w:szCs w:val="28"/>
        </w:rPr>
      </w:pPr>
    </w:p>
    <w:sectPr w:rsidR="0031243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DC7B1" w14:textId="77777777" w:rsidR="000730DD" w:rsidRDefault="000730DD">
      <w:r>
        <w:separator/>
      </w:r>
    </w:p>
  </w:endnote>
  <w:endnote w:type="continuationSeparator" w:id="0">
    <w:p w14:paraId="398107EE" w14:textId="77777777" w:rsidR="000730DD" w:rsidRDefault="0007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roman"/>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297003"/>
    </w:sdtPr>
    <w:sdtEndPr/>
    <w:sdtContent>
      <w:p w14:paraId="02095554" w14:textId="77777777" w:rsidR="0031243B" w:rsidRDefault="000014E9">
        <w:pPr>
          <w:pStyle w:val="a6"/>
          <w:jc w:val="center"/>
        </w:pPr>
        <w:r>
          <w:fldChar w:fldCharType="begin"/>
        </w:r>
        <w:r>
          <w:instrText>PAGE   \* MERGEFORMAT</w:instrText>
        </w:r>
        <w:r>
          <w:fldChar w:fldCharType="separate"/>
        </w:r>
        <w:r w:rsidR="008A6452" w:rsidRPr="008A6452">
          <w:rPr>
            <w:noProof/>
            <w:lang w:val="zh-CN"/>
          </w:rPr>
          <w:t>7</w:t>
        </w:r>
        <w:r>
          <w:fldChar w:fldCharType="end"/>
        </w:r>
      </w:p>
    </w:sdtContent>
  </w:sdt>
  <w:p w14:paraId="09CA4607" w14:textId="77777777" w:rsidR="0031243B" w:rsidRDefault="003124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BB5ED" w14:textId="77777777" w:rsidR="000730DD" w:rsidRDefault="000730DD">
      <w:r>
        <w:separator/>
      </w:r>
    </w:p>
  </w:footnote>
  <w:footnote w:type="continuationSeparator" w:id="0">
    <w:p w14:paraId="3A63B82C" w14:textId="77777777" w:rsidR="000730DD" w:rsidRDefault="00073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2C3B84"/>
    <w:rsid w:val="F67DD24C"/>
    <w:rsid w:val="00001000"/>
    <w:rsid w:val="000014E9"/>
    <w:rsid w:val="000106E7"/>
    <w:rsid w:val="00023813"/>
    <w:rsid w:val="00035E7B"/>
    <w:rsid w:val="00037AF7"/>
    <w:rsid w:val="00037E2A"/>
    <w:rsid w:val="00043590"/>
    <w:rsid w:val="0005795A"/>
    <w:rsid w:val="00061D43"/>
    <w:rsid w:val="00062BE5"/>
    <w:rsid w:val="000730DD"/>
    <w:rsid w:val="000925B2"/>
    <w:rsid w:val="000B0425"/>
    <w:rsid w:val="000D29C9"/>
    <w:rsid w:val="000E2323"/>
    <w:rsid w:val="000E686A"/>
    <w:rsid w:val="001077FA"/>
    <w:rsid w:val="00112A3C"/>
    <w:rsid w:val="00116E0C"/>
    <w:rsid w:val="00120D61"/>
    <w:rsid w:val="00124F92"/>
    <w:rsid w:val="001B7DAF"/>
    <w:rsid w:val="002052C3"/>
    <w:rsid w:val="00211287"/>
    <w:rsid w:val="00212257"/>
    <w:rsid w:val="002169E4"/>
    <w:rsid w:val="00250382"/>
    <w:rsid w:val="00261004"/>
    <w:rsid w:val="002762D8"/>
    <w:rsid w:val="002B289E"/>
    <w:rsid w:val="002C3B84"/>
    <w:rsid w:val="002D6C34"/>
    <w:rsid w:val="00301530"/>
    <w:rsid w:val="0031243B"/>
    <w:rsid w:val="0034066A"/>
    <w:rsid w:val="00356FF3"/>
    <w:rsid w:val="003A66B9"/>
    <w:rsid w:val="003B15B8"/>
    <w:rsid w:val="003B1EDB"/>
    <w:rsid w:val="003B6E47"/>
    <w:rsid w:val="003E18F6"/>
    <w:rsid w:val="003F58F2"/>
    <w:rsid w:val="00401940"/>
    <w:rsid w:val="004145D9"/>
    <w:rsid w:val="00433C91"/>
    <w:rsid w:val="0044437A"/>
    <w:rsid w:val="0046090D"/>
    <w:rsid w:val="004757E2"/>
    <w:rsid w:val="00491E79"/>
    <w:rsid w:val="004C4F4A"/>
    <w:rsid w:val="004D11B0"/>
    <w:rsid w:val="004F7FD5"/>
    <w:rsid w:val="00531276"/>
    <w:rsid w:val="005543BA"/>
    <w:rsid w:val="005B0FBC"/>
    <w:rsid w:val="005E483C"/>
    <w:rsid w:val="006312A9"/>
    <w:rsid w:val="00645679"/>
    <w:rsid w:val="0065413F"/>
    <w:rsid w:val="006A388A"/>
    <w:rsid w:val="006B3571"/>
    <w:rsid w:val="00701C19"/>
    <w:rsid w:val="00713169"/>
    <w:rsid w:val="0073127E"/>
    <w:rsid w:val="007360EA"/>
    <w:rsid w:val="00766A24"/>
    <w:rsid w:val="00793C01"/>
    <w:rsid w:val="007A669E"/>
    <w:rsid w:val="007B3EDC"/>
    <w:rsid w:val="007E000F"/>
    <w:rsid w:val="007E4254"/>
    <w:rsid w:val="007F064C"/>
    <w:rsid w:val="00805ADC"/>
    <w:rsid w:val="00824EBA"/>
    <w:rsid w:val="00844000"/>
    <w:rsid w:val="008A6452"/>
    <w:rsid w:val="008C383F"/>
    <w:rsid w:val="008F0FE7"/>
    <w:rsid w:val="008F3B1F"/>
    <w:rsid w:val="00900A68"/>
    <w:rsid w:val="00901DB8"/>
    <w:rsid w:val="00902F3A"/>
    <w:rsid w:val="0095280E"/>
    <w:rsid w:val="009B43D7"/>
    <w:rsid w:val="009B744C"/>
    <w:rsid w:val="009C2F80"/>
    <w:rsid w:val="009C7567"/>
    <w:rsid w:val="009D353D"/>
    <w:rsid w:val="00A0287B"/>
    <w:rsid w:val="00A02B51"/>
    <w:rsid w:val="00A11654"/>
    <w:rsid w:val="00A2462B"/>
    <w:rsid w:val="00A356FB"/>
    <w:rsid w:val="00A44C06"/>
    <w:rsid w:val="00A52657"/>
    <w:rsid w:val="00A54DA4"/>
    <w:rsid w:val="00A70514"/>
    <w:rsid w:val="00A9623F"/>
    <w:rsid w:val="00AB2569"/>
    <w:rsid w:val="00AD5D0B"/>
    <w:rsid w:val="00B01E9E"/>
    <w:rsid w:val="00B10105"/>
    <w:rsid w:val="00B453B8"/>
    <w:rsid w:val="00B5538F"/>
    <w:rsid w:val="00B6321D"/>
    <w:rsid w:val="00B675BA"/>
    <w:rsid w:val="00B738FD"/>
    <w:rsid w:val="00B9264F"/>
    <w:rsid w:val="00BB439B"/>
    <w:rsid w:val="00C30A0F"/>
    <w:rsid w:val="00C375A6"/>
    <w:rsid w:val="00C47FF9"/>
    <w:rsid w:val="00C5026F"/>
    <w:rsid w:val="00C90E0F"/>
    <w:rsid w:val="00C949A3"/>
    <w:rsid w:val="00C94ACB"/>
    <w:rsid w:val="00CA2011"/>
    <w:rsid w:val="00CA6622"/>
    <w:rsid w:val="00CA6B4E"/>
    <w:rsid w:val="00CC7B16"/>
    <w:rsid w:val="00CF2B46"/>
    <w:rsid w:val="00CF601B"/>
    <w:rsid w:val="00D10BCF"/>
    <w:rsid w:val="00D45A7E"/>
    <w:rsid w:val="00D521B0"/>
    <w:rsid w:val="00D52B7D"/>
    <w:rsid w:val="00DA4458"/>
    <w:rsid w:val="00DB10B3"/>
    <w:rsid w:val="00DB4EB1"/>
    <w:rsid w:val="00DF310B"/>
    <w:rsid w:val="00E14DB4"/>
    <w:rsid w:val="00E1767D"/>
    <w:rsid w:val="00E17D71"/>
    <w:rsid w:val="00E4204E"/>
    <w:rsid w:val="00E50F14"/>
    <w:rsid w:val="00EA10B3"/>
    <w:rsid w:val="00EA3D16"/>
    <w:rsid w:val="00ED12F2"/>
    <w:rsid w:val="00EE79ED"/>
    <w:rsid w:val="00F018F6"/>
    <w:rsid w:val="00F14249"/>
    <w:rsid w:val="00F15456"/>
    <w:rsid w:val="00F20D60"/>
    <w:rsid w:val="00F41D4B"/>
    <w:rsid w:val="00F444A9"/>
    <w:rsid w:val="00F610A6"/>
    <w:rsid w:val="00F61E8F"/>
    <w:rsid w:val="00F969DD"/>
    <w:rsid w:val="00FE6CEE"/>
    <w:rsid w:val="017231E8"/>
    <w:rsid w:val="03D226B6"/>
    <w:rsid w:val="046B52AB"/>
    <w:rsid w:val="08585D69"/>
    <w:rsid w:val="0D7147C7"/>
    <w:rsid w:val="111F5DBA"/>
    <w:rsid w:val="142D7937"/>
    <w:rsid w:val="15E50BD5"/>
    <w:rsid w:val="188B6596"/>
    <w:rsid w:val="19740970"/>
    <w:rsid w:val="199A19A4"/>
    <w:rsid w:val="1AA635F1"/>
    <w:rsid w:val="1F4B56FC"/>
    <w:rsid w:val="20B70D3D"/>
    <w:rsid w:val="28F608A2"/>
    <w:rsid w:val="2C6027D1"/>
    <w:rsid w:val="2E3027A6"/>
    <w:rsid w:val="30F52C6F"/>
    <w:rsid w:val="31604BD6"/>
    <w:rsid w:val="31A27CD9"/>
    <w:rsid w:val="37FC63A6"/>
    <w:rsid w:val="3B3C3763"/>
    <w:rsid w:val="3B68327E"/>
    <w:rsid w:val="3BFF2B9B"/>
    <w:rsid w:val="3DD43C03"/>
    <w:rsid w:val="3EE74DF9"/>
    <w:rsid w:val="4130427C"/>
    <w:rsid w:val="43DE0138"/>
    <w:rsid w:val="4B304652"/>
    <w:rsid w:val="4B911AF9"/>
    <w:rsid w:val="4CAC4C0D"/>
    <w:rsid w:val="50935AAE"/>
    <w:rsid w:val="53080865"/>
    <w:rsid w:val="54070CA0"/>
    <w:rsid w:val="5C914740"/>
    <w:rsid w:val="5CB95508"/>
    <w:rsid w:val="64CD21DC"/>
    <w:rsid w:val="6A280CD5"/>
    <w:rsid w:val="710833CA"/>
    <w:rsid w:val="71F72D0B"/>
    <w:rsid w:val="73A358D8"/>
    <w:rsid w:val="75EBE33F"/>
    <w:rsid w:val="79520508"/>
    <w:rsid w:val="7AFB0FD5"/>
    <w:rsid w:val="7E6A5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Web)" w:semiHidden="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semiHidden/>
    <w:unhideWhenUsed/>
    <w:qFormat/>
    <w:pPr>
      <w:snapToGrid w:val="0"/>
      <w:jc w:val="left"/>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annotation subject"/>
    <w:basedOn w:val="a4"/>
    <w:next w:val="a4"/>
    <w:link w:val="Char4"/>
    <w:uiPriority w:val="99"/>
    <w:semiHidden/>
    <w:unhideWhenUsed/>
    <w:rPr>
      <w:b/>
      <w:bCs/>
    </w:rPr>
  </w:style>
  <w:style w:type="character" w:styleId="ab">
    <w:name w:val="Strong"/>
    <w:basedOn w:val="a0"/>
    <w:uiPriority w:val="22"/>
    <w:qFormat/>
    <w:rPr>
      <w:b/>
      <w:bCs/>
    </w:r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rPr>
      <w:sz w:val="21"/>
      <w:szCs w:val="21"/>
    </w:rPr>
  </w:style>
  <w:style w:type="character" w:styleId="ae">
    <w:name w:val="footnote reference"/>
    <w:basedOn w:val="a0"/>
    <w:uiPriority w:val="99"/>
    <w:semiHidden/>
    <w:unhideWhenUsed/>
    <w:qFormat/>
    <w:rPr>
      <w:vertAlign w:val="superscript"/>
    </w:rPr>
  </w:style>
  <w:style w:type="paragraph" w:customStyle="1" w:styleId="1">
    <w:name w:val="列出段落1"/>
    <w:basedOn w:val="a"/>
    <w:uiPriority w:val="34"/>
    <w:qFormat/>
    <w:pPr>
      <w:ind w:firstLineChars="200" w:firstLine="420"/>
    </w:pPr>
  </w:style>
  <w:style w:type="character" w:customStyle="1" w:styleId="10">
    <w:name w:val="未处理的提及1"/>
    <w:basedOn w:val="a0"/>
    <w:uiPriority w:val="99"/>
    <w:unhideWhenUsed/>
    <w:qFormat/>
    <w:rPr>
      <w:color w:val="605E5C"/>
      <w:shd w:val="clear" w:color="auto" w:fill="E1DFDD"/>
    </w:rPr>
  </w:style>
  <w:style w:type="character" w:customStyle="1" w:styleId="Char">
    <w:name w:val="文档结构图 Char"/>
    <w:basedOn w:val="a0"/>
    <w:link w:val="a3"/>
    <w:uiPriority w:val="99"/>
    <w:semiHidden/>
    <w:qFormat/>
    <w:rPr>
      <w:rFonts w:ascii="宋体" w:eastAsia="宋体"/>
      <w:kern w:val="2"/>
      <w:sz w:val="18"/>
      <w:szCs w:val="18"/>
    </w:rPr>
  </w:style>
  <w:style w:type="character" w:customStyle="1" w:styleId="Char3">
    <w:name w:val="页眉 Char"/>
    <w:basedOn w:val="a0"/>
    <w:link w:val="a7"/>
    <w:uiPriority w:val="99"/>
    <w:qFormat/>
    <w:rPr>
      <w:kern w:val="2"/>
      <w:sz w:val="18"/>
      <w:szCs w:val="18"/>
    </w:rPr>
  </w:style>
  <w:style w:type="character" w:customStyle="1" w:styleId="Char2">
    <w:name w:val="页脚 Char"/>
    <w:basedOn w:val="a0"/>
    <w:link w:val="a6"/>
    <w:uiPriority w:val="99"/>
    <w:qFormat/>
    <w:rPr>
      <w:kern w:val="2"/>
      <w:sz w:val="18"/>
      <w:szCs w:val="18"/>
    </w:rPr>
  </w:style>
  <w:style w:type="character" w:customStyle="1" w:styleId="Char0">
    <w:name w:val="批注文字 Char"/>
    <w:basedOn w:val="a0"/>
    <w:link w:val="a4"/>
    <w:uiPriority w:val="99"/>
    <w:semiHidden/>
    <w:qFormat/>
    <w:rPr>
      <w:kern w:val="2"/>
      <w:sz w:val="21"/>
      <w:szCs w:val="22"/>
    </w:rPr>
  </w:style>
  <w:style w:type="character" w:customStyle="1" w:styleId="Char4">
    <w:name w:val="批注主题 Char"/>
    <w:basedOn w:val="Char0"/>
    <w:link w:val="aa"/>
    <w:uiPriority w:val="99"/>
    <w:semiHidden/>
    <w:qFormat/>
    <w:rPr>
      <w:b/>
      <w:bCs/>
      <w:kern w:val="2"/>
      <w:sz w:val="21"/>
      <w:szCs w:val="22"/>
    </w:rPr>
  </w:style>
  <w:style w:type="character" w:customStyle="1" w:styleId="Char1">
    <w:name w:val="批注框文本 Char"/>
    <w:basedOn w:val="a0"/>
    <w:link w:val="a5"/>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Web)" w:semiHidden="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semiHidden/>
    <w:unhideWhenUsed/>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semiHidden/>
    <w:unhideWhenUsed/>
    <w:qFormat/>
    <w:pPr>
      <w:snapToGrid w:val="0"/>
      <w:jc w:val="left"/>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annotation subject"/>
    <w:basedOn w:val="a4"/>
    <w:next w:val="a4"/>
    <w:link w:val="Char4"/>
    <w:uiPriority w:val="99"/>
    <w:semiHidden/>
    <w:unhideWhenUsed/>
    <w:rPr>
      <w:b/>
      <w:bCs/>
    </w:rPr>
  </w:style>
  <w:style w:type="character" w:styleId="ab">
    <w:name w:val="Strong"/>
    <w:basedOn w:val="a0"/>
    <w:uiPriority w:val="22"/>
    <w:qFormat/>
    <w:rPr>
      <w:b/>
      <w:bCs/>
    </w:rPr>
  </w:style>
  <w:style w:type="character" w:styleId="ac">
    <w:name w:val="Hyperlink"/>
    <w:basedOn w:val="a0"/>
    <w:uiPriority w:val="99"/>
    <w:unhideWhenUsed/>
    <w:qFormat/>
    <w:rPr>
      <w:color w:val="0563C1" w:themeColor="hyperlink"/>
      <w:u w:val="single"/>
    </w:rPr>
  </w:style>
  <w:style w:type="character" w:styleId="ad">
    <w:name w:val="annotation reference"/>
    <w:basedOn w:val="a0"/>
    <w:uiPriority w:val="99"/>
    <w:semiHidden/>
    <w:unhideWhenUsed/>
    <w:rPr>
      <w:sz w:val="21"/>
      <w:szCs w:val="21"/>
    </w:rPr>
  </w:style>
  <w:style w:type="character" w:styleId="ae">
    <w:name w:val="footnote reference"/>
    <w:basedOn w:val="a0"/>
    <w:uiPriority w:val="99"/>
    <w:semiHidden/>
    <w:unhideWhenUsed/>
    <w:qFormat/>
    <w:rPr>
      <w:vertAlign w:val="superscript"/>
    </w:rPr>
  </w:style>
  <w:style w:type="paragraph" w:customStyle="1" w:styleId="1">
    <w:name w:val="列出段落1"/>
    <w:basedOn w:val="a"/>
    <w:uiPriority w:val="34"/>
    <w:qFormat/>
    <w:pPr>
      <w:ind w:firstLineChars="200" w:firstLine="420"/>
    </w:pPr>
  </w:style>
  <w:style w:type="character" w:customStyle="1" w:styleId="10">
    <w:name w:val="未处理的提及1"/>
    <w:basedOn w:val="a0"/>
    <w:uiPriority w:val="99"/>
    <w:unhideWhenUsed/>
    <w:qFormat/>
    <w:rPr>
      <w:color w:val="605E5C"/>
      <w:shd w:val="clear" w:color="auto" w:fill="E1DFDD"/>
    </w:rPr>
  </w:style>
  <w:style w:type="character" w:customStyle="1" w:styleId="Char">
    <w:name w:val="文档结构图 Char"/>
    <w:basedOn w:val="a0"/>
    <w:link w:val="a3"/>
    <w:uiPriority w:val="99"/>
    <w:semiHidden/>
    <w:qFormat/>
    <w:rPr>
      <w:rFonts w:ascii="宋体" w:eastAsia="宋体"/>
      <w:kern w:val="2"/>
      <w:sz w:val="18"/>
      <w:szCs w:val="18"/>
    </w:rPr>
  </w:style>
  <w:style w:type="character" w:customStyle="1" w:styleId="Char3">
    <w:name w:val="页眉 Char"/>
    <w:basedOn w:val="a0"/>
    <w:link w:val="a7"/>
    <w:uiPriority w:val="99"/>
    <w:qFormat/>
    <w:rPr>
      <w:kern w:val="2"/>
      <w:sz w:val="18"/>
      <w:szCs w:val="18"/>
    </w:rPr>
  </w:style>
  <w:style w:type="character" w:customStyle="1" w:styleId="Char2">
    <w:name w:val="页脚 Char"/>
    <w:basedOn w:val="a0"/>
    <w:link w:val="a6"/>
    <w:uiPriority w:val="99"/>
    <w:qFormat/>
    <w:rPr>
      <w:kern w:val="2"/>
      <w:sz w:val="18"/>
      <w:szCs w:val="18"/>
    </w:rPr>
  </w:style>
  <w:style w:type="character" w:customStyle="1" w:styleId="Char0">
    <w:name w:val="批注文字 Char"/>
    <w:basedOn w:val="a0"/>
    <w:link w:val="a4"/>
    <w:uiPriority w:val="99"/>
    <w:semiHidden/>
    <w:qFormat/>
    <w:rPr>
      <w:kern w:val="2"/>
      <w:sz w:val="21"/>
      <w:szCs w:val="22"/>
    </w:rPr>
  </w:style>
  <w:style w:type="character" w:customStyle="1" w:styleId="Char4">
    <w:name w:val="批注主题 Char"/>
    <w:basedOn w:val="Char0"/>
    <w:link w:val="aa"/>
    <w:uiPriority w:val="99"/>
    <w:semiHidden/>
    <w:qFormat/>
    <w:rPr>
      <w:b/>
      <w:bCs/>
      <w:kern w:val="2"/>
      <w:sz w:val="21"/>
      <w:szCs w:val="22"/>
    </w:rPr>
  </w:style>
  <w:style w:type="character" w:customStyle="1" w:styleId="Char1">
    <w:name w:val="批注框文本 Char"/>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zqk@gk-hj.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3D818-160E-4E79-B8FF-8DE45CF32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huang.yuan@gk-hj.cn</dc:creator>
  <cp:lastModifiedBy>csh</cp:lastModifiedBy>
  <cp:revision>60</cp:revision>
  <dcterms:created xsi:type="dcterms:W3CDTF">2019-12-05T02:21:00Z</dcterms:created>
  <dcterms:modified xsi:type="dcterms:W3CDTF">2024-09-05T02:07:00Z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3879F437D6C74BA0AA8D84E03EDD9C9B_12</vt:lpwstr>
  </property>
</Properties>
</file>