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outlineLvl w:val="0"/>
        <w:rPr>
          <w:rFonts w:ascii="黑体" w:hAnsi="黑体" w:eastAsia="黑体" w:cs="宋体"/>
          <w:spacing w:val="8"/>
          <w:kern w:val="36"/>
          <w:sz w:val="32"/>
          <w:szCs w:val="32"/>
        </w:rPr>
      </w:pPr>
      <w:bookmarkStart w:id="0" w:name="_GoBack"/>
      <w:bookmarkEnd w:id="0"/>
      <w:r>
        <w:rPr>
          <w:rFonts w:hint="eastAsia" w:ascii="黑体" w:hAnsi="黑体" w:eastAsia="黑体" w:cs="宋体"/>
          <w:spacing w:val="8"/>
          <w:kern w:val="36"/>
          <w:sz w:val="32"/>
          <w:szCs w:val="32"/>
        </w:rPr>
        <w:t>附件1</w:t>
      </w:r>
    </w:p>
    <w:p>
      <w:pPr>
        <w:widowControl/>
        <w:spacing w:before="100" w:beforeAutospacing="1" w:after="100" w:afterAutospacing="1"/>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关于开展2024年新技术新产品首次进入市场项目申报的通知</w:t>
      </w:r>
    </w:p>
    <w:p>
      <w:pPr>
        <w:widowControl/>
        <w:spacing w:before="100" w:beforeAutospacing="1" w:after="100" w:afterAutospacing="1"/>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各有关单位：</w:t>
      </w:r>
    </w:p>
    <w:p>
      <w:pPr>
        <w:widowControl/>
        <w:spacing w:after="100" w:afterAutospacing="1"/>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为支持属于关键领域“补短板”、填补国际或国内空白的新技术新产品实现首次应用，按照《中关村国家自主创新示范区提升企业创新能力支持资金管理办法》（京科发〔2024〕13 号），现组织开展新技术新产品首次进入市场项目申报工作。有关事项通知如下：</w:t>
      </w:r>
    </w:p>
    <w:p>
      <w:pPr>
        <w:widowControl/>
        <w:spacing w:after="100" w:afterAutospacing="1"/>
        <w:jc w:val="left"/>
        <w:rPr>
          <w:rFonts w:ascii="黑体" w:hAnsi="黑体" w:eastAsia="黑体" w:cs="宋体"/>
          <w:kern w:val="0"/>
          <w:sz w:val="32"/>
          <w:szCs w:val="32"/>
        </w:rPr>
      </w:pPr>
      <w:r>
        <w:rPr>
          <w:rFonts w:hint="eastAsia" w:ascii="黑体" w:hAnsi="黑体" w:eastAsia="黑体" w:cs="宋体"/>
          <w:bCs/>
          <w:kern w:val="0"/>
          <w:sz w:val="32"/>
          <w:szCs w:val="32"/>
        </w:rPr>
        <w:t>一、支持内容</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支持属于关键领域“补短板”、填补国际或国内空白的新技术新产品实现首次应用，促进迭代创新与产业化。</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采取后补助方式，根据技术水平及应用效果，按照首次进入市场合同（前3个合同中任选1个）金额30%比例，分档给予新技术新产品研制单位不超过500万元的资金支持。资金用于支持企业持续加大研发投入、产业化推广等相关工作。</w:t>
      </w:r>
    </w:p>
    <w:p>
      <w:pPr>
        <w:widowControl/>
        <w:spacing w:before="100" w:beforeAutospacing="1" w:after="100" w:afterAutospacing="1"/>
        <w:jc w:val="left"/>
        <w:rPr>
          <w:rFonts w:ascii="黑体" w:hAnsi="黑体" w:eastAsia="黑体" w:cs="宋体"/>
          <w:bCs/>
          <w:kern w:val="0"/>
          <w:sz w:val="32"/>
          <w:szCs w:val="32"/>
        </w:rPr>
      </w:pPr>
      <w:r>
        <w:rPr>
          <w:rFonts w:hint="eastAsia" w:ascii="黑体" w:hAnsi="黑体" w:eastAsia="黑体" w:cs="宋体"/>
          <w:bCs/>
          <w:kern w:val="0"/>
          <w:sz w:val="32"/>
          <w:szCs w:val="32"/>
        </w:rPr>
        <w:t>二、征集对象和申报主体</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征集对象为有效期内的北京市新技术新产品（第15批至第19批，新服务不在征集范围内）。</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申报主体为注册在我市行政区域范围内的有效期内的国家高新技术企业，同时是中小型企业（须符合工信部关于中小企业划型标准的规定）。</w:t>
      </w:r>
    </w:p>
    <w:p>
      <w:pPr>
        <w:widowControl/>
        <w:spacing w:before="100" w:beforeAutospacing="1" w:after="100" w:afterAutospacing="1"/>
        <w:jc w:val="left"/>
        <w:rPr>
          <w:rFonts w:ascii="黑体" w:hAnsi="黑体" w:eastAsia="黑体" w:cs="宋体"/>
          <w:bCs/>
          <w:kern w:val="0"/>
          <w:sz w:val="32"/>
          <w:szCs w:val="32"/>
        </w:rPr>
      </w:pPr>
      <w:r>
        <w:rPr>
          <w:rFonts w:hint="eastAsia" w:ascii="黑体" w:hAnsi="黑体" w:eastAsia="黑体" w:cs="宋体"/>
          <w:bCs/>
          <w:kern w:val="0"/>
          <w:sz w:val="32"/>
          <w:szCs w:val="32"/>
        </w:rPr>
        <w:t>三、支持领域</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新一代信息技术：</w:t>
      </w:r>
      <w:r>
        <w:rPr>
          <w:rFonts w:hint="eastAsia" w:ascii="仿宋_GB2312" w:hAnsi="宋体" w:eastAsia="仿宋_GB2312" w:cs="宋体"/>
          <w:kern w:val="0"/>
          <w:sz w:val="32"/>
          <w:szCs w:val="32"/>
        </w:rPr>
        <w:t>人工智能、集成电路、先进通信网络、量子信息、光电子、区块链、互联网3.0。</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医药健康：</w:t>
      </w:r>
      <w:r>
        <w:rPr>
          <w:rFonts w:hint="eastAsia" w:ascii="仿宋_GB2312" w:hAnsi="宋体" w:eastAsia="仿宋_GB2312" w:cs="宋体"/>
          <w:kern w:val="0"/>
          <w:sz w:val="32"/>
          <w:szCs w:val="32"/>
        </w:rPr>
        <w:t>高端医疗器械、数字医疗、基因技术、细胞治疗与再生医学、脑科学与脑机接口、合成生物。</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智能制造：</w:t>
      </w:r>
      <w:r>
        <w:rPr>
          <w:rFonts w:hint="eastAsia" w:ascii="仿宋_GB2312" w:hAnsi="宋体" w:eastAsia="仿宋_GB2312" w:cs="宋体"/>
          <w:kern w:val="0"/>
          <w:sz w:val="32"/>
          <w:szCs w:val="32"/>
        </w:rPr>
        <w:t>高端机器人、智能装备、高端科学仪器与关键零部件、工业基础软件。</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新材料：</w:t>
      </w:r>
      <w:r>
        <w:rPr>
          <w:rFonts w:hint="eastAsia" w:ascii="仿宋_GB2312" w:hAnsi="宋体" w:eastAsia="仿宋_GB2312" w:cs="宋体"/>
          <w:kern w:val="0"/>
          <w:sz w:val="32"/>
          <w:szCs w:val="32"/>
        </w:rPr>
        <w:t>第三代半导体、石墨烯、新一代生物医用材料、其他重点领域关键材料。</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新能源智能网联汽车：</w:t>
      </w:r>
      <w:r>
        <w:rPr>
          <w:rFonts w:hint="eastAsia" w:ascii="仿宋_GB2312" w:hAnsi="宋体" w:eastAsia="仿宋_GB2312" w:cs="宋体"/>
          <w:kern w:val="0"/>
          <w:sz w:val="32"/>
          <w:szCs w:val="32"/>
        </w:rPr>
        <w:t>智能网联汽车、全固态电池与燃料电池。</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新能源与节能环保：</w:t>
      </w:r>
      <w:r>
        <w:rPr>
          <w:rFonts w:hint="eastAsia" w:ascii="仿宋_GB2312" w:hAnsi="宋体" w:eastAsia="仿宋_GB2312" w:cs="宋体"/>
          <w:kern w:val="0"/>
          <w:sz w:val="32"/>
          <w:szCs w:val="32"/>
        </w:rPr>
        <w:t>氢能及燃料电池、先进储能、能源互联网。</w:t>
      </w:r>
    </w:p>
    <w:p>
      <w:pPr>
        <w:widowControl/>
        <w:ind w:firstLine="472" w:firstLineChars="147"/>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航空航天：</w:t>
      </w:r>
      <w:r>
        <w:rPr>
          <w:rFonts w:hint="eastAsia" w:ascii="仿宋_GB2312" w:hAnsi="宋体" w:eastAsia="仿宋_GB2312" w:cs="宋体"/>
          <w:kern w:val="0"/>
          <w:sz w:val="32"/>
          <w:szCs w:val="32"/>
        </w:rPr>
        <w:t>商业航天、卫星网络、无人机。</w:t>
      </w:r>
    </w:p>
    <w:p>
      <w:pPr>
        <w:widowControl/>
        <w:spacing w:before="100" w:beforeAutospacing="1" w:after="100" w:afterAutospacing="1"/>
        <w:jc w:val="left"/>
        <w:rPr>
          <w:rFonts w:ascii="黑体" w:hAnsi="黑体" w:eastAsia="黑体" w:cs="宋体"/>
          <w:bCs/>
          <w:kern w:val="0"/>
          <w:sz w:val="32"/>
          <w:szCs w:val="32"/>
        </w:rPr>
      </w:pPr>
      <w:r>
        <w:rPr>
          <w:rFonts w:hint="eastAsia" w:ascii="黑体" w:hAnsi="黑体" w:eastAsia="黑体" w:cs="宋体"/>
          <w:bCs/>
          <w:kern w:val="0"/>
          <w:sz w:val="32"/>
          <w:szCs w:val="32"/>
        </w:rPr>
        <w:t>四、支持条件</w:t>
      </w:r>
    </w:p>
    <w:p>
      <w:pPr>
        <w:widowControl/>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（一）在同类技术产品中达到国际或国内领先水平，对本领域的技术进步有推动作用。技术产品知识产权明晰，申报单位拥有该技术产品关键核心技术的自主知识产权。</w:t>
      </w:r>
    </w:p>
    <w:p>
      <w:pPr>
        <w:widowControl/>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申报单位可选择技术产品自上市以来前3个合同中的任意1个进行报送，须为2023年8月1日至2024年7月31日之间签订的合同，且合同、发票和回款金额均不低于35万元。已成熟商业化的新技术新产品不予受理。合同内容须对应申报的技术产品（多个技术产品对应同一个合同须进行拆分）。</w:t>
      </w:r>
    </w:p>
    <w:p>
      <w:pPr>
        <w:widowControl/>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（三）签订合同的甲乙双方为正常市场化采购行为，不存在以下关联关系，包括：持股/被持股关系、同一法定代表人或实控人、董监高人员重叠以及所有类似情况。</w:t>
      </w:r>
    </w:p>
    <w:p>
      <w:pPr>
        <w:widowControl/>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（四）已获得过“首创产品首次进入市场项目”资金支持的单位不再支持。</w:t>
      </w:r>
    </w:p>
    <w:p>
      <w:pPr>
        <w:widowControl/>
        <w:spacing w:before="100" w:beforeAutospacing="1" w:after="100" w:afterAutospacing="1"/>
        <w:jc w:val="left"/>
        <w:rPr>
          <w:rFonts w:ascii="黑体" w:hAnsi="黑体" w:eastAsia="黑体" w:cs="宋体"/>
          <w:bCs/>
          <w:kern w:val="0"/>
          <w:sz w:val="32"/>
          <w:szCs w:val="32"/>
        </w:rPr>
      </w:pPr>
      <w:r>
        <w:rPr>
          <w:rFonts w:hint="eastAsia" w:ascii="黑体" w:hAnsi="黑体" w:eastAsia="黑体" w:cs="宋体"/>
          <w:bCs/>
          <w:kern w:val="0"/>
          <w:sz w:val="32"/>
          <w:szCs w:val="32"/>
        </w:rPr>
        <w:t>五、申报方式</w:t>
      </w:r>
    </w:p>
    <w:p>
      <w:pPr>
        <w:widowControl/>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（一）申报时间</w:t>
      </w:r>
    </w:p>
    <w:p>
      <w:pPr>
        <w:widowControl/>
        <w:spacing w:before="100" w:beforeAutospacing="1" w:after="100" w:afterAutospacing="1"/>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2024年8月27日9：00-8月31日17:30。</w:t>
      </w:r>
    </w:p>
    <w:p>
      <w:pPr>
        <w:widowControl/>
        <w:spacing w:before="100" w:beforeAutospacing="1" w:after="100" w:afterAutospacing="1"/>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（二）申报方式</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请申报单位登录北京市科技计划综合管理平台在线服务系统（https：//mis.kw.beijing.gov.cn/），点击“项目申报”，从“项目申报”页面“申报通知”栏中选择“新技术新产品首次进入市场项目”，填写相关材料，完成网上填报。</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注：前期已申报完成新技术新产品首次进入市场储备项目的单位，须登陆申报系统选择确认后提交。</w:t>
      </w:r>
    </w:p>
    <w:p>
      <w:pPr>
        <w:widowControl/>
        <w:spacing w:before="100" w:beforeAutospacing="1" w:after="100" w:afterAutospacing="1"/>
        <w:jc w:val="left"/>
        <w:rPr>
          <w:rFonts w:ascii="黑体" w:hAnsi="黑体" w:eastAsia="黑体" w:cs="宋体"/>
          <w:bCs/>
          <w:kern w:val="0"/>
          <w:sz w:val="32"/>
          <w:szCs w:val="32"/>
        </w:rPr>
      </w:pPr>
      <w:r>
        <w:rPr>
          <w:rFonts w:hint="eastAsia" w:ascii="黑体" w:hAnsi="黑体" w:eastAsia="黑体" w:cs="宋体"/>
          <w:bCs/>
          <w:kern w:val="0"/>
          <w:sz w:val="32"/>
          <w:szCs w:val="32"/>
        </w:rPr>
        <w:t>六、联系电话</w:t>
      </w:r>
    </w:p>
    <w:p>
      <w:pPr>
        <w:widowControl/>
        <w:ind w:firstLine="629"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政策咨询电话：</w:t>
      </w:r>
      <w:r>
        <w:rPr>
          <w:rFonts w:hint="eastAsia" w:ascii="仿宋_GB2312" w:hAnsi="宋体" w:eastAsia="仿宋_GB2312" w:cs="宋体"/>
          <w:kern w:val="0"/>
          <w:sz w:val="32"/>
          <w:szCs w:val="32"/>
        </w:rPr>
        <w:t>010-88827069、010-88827033</w:t>
      </w:r>
    </w:p>
    <w:p>
      <w:pPr>
        <w:widowControl/>
        <w:spacing w:before="100" w:beforeAutospacing="1" w:after="100" w:afterAutospacing="1"/>
        <w:ind w:firstLine="629"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技术支持电话：</w:t>
      </w:r>
      <w:r>
        <w:rPr>
          <w:rFonts w:hint="eastAsia" w:ascii="仿宋_GB2312" w:hAnsi="宋体" w:eastAsia="仿宋_GB2312" w:cs="宋体"/>
          <w:kern w:val="0"/>
          <w:sz w:val="32"/>
          <w:szCs w:val="32"/>
        </w:rPr>
        <w:t>010-58858680、010-58858685</w:t>
      </w:r>
    </w:p>
    <w:p>
      <w:pPr>
        <w:widowControl/>
        <w:spacing w:before="100" w:beforeAutospacing="1" w:after="100" w:afterAutospacing="1"/>
        <w:ind w:firstLine="629" w:firstLineChars="196"/>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服 务 时 间：</w:t>
      </w:r>
      <w:r>
        <w:rPr>
          <w:rFonts w:hint="eastAsia" w:ascii="仿宋_GB2312" w:hAnsi="宋体" w:eastAsia="仿宋_GB2312" w:cs="宋体"/>
          <w:kern w:val="0"/>
          <w:sz w:val="32"/>
          <w:szCs w:val="32"/>
        </w:rPr>
        <w:t>申报日9:00-12:00，14:00-17:30</w:t>
      </w:r>
    </w:p>
    <w:p>
      <w:pPr>
        <w:widowControl/>
        <w:spacing w:before="100" w:beforeAutospacing="1" w:after="100" w:afterAutospacing="1"/>
        <w:jc w:val="left"/>
        <w:rPr>
          <w:rFonts w:ascii="仿宋_GB2312" w:hAnsi="宋体" w:eastAsia="仿宋_GB2312" w:cs="宋体"/>
          <w:kern w:val="0"/>
          <w:sz w:val="32"/>
          <w:szCs w:val="32"/>
        </w:rPr>
      </w:pPr>
    </w:p>
    <w:p>
      <w:pPr>
        <w:widowControl/>
        <w:spacing w:before="100" w:beforeAutospacing="1" w:after="100" w:afterAutospacing="1"/>
        <w:jc w:val="right"/>
        <w:rPr>
          <w:rFonts w:ascii="仿宋_GB2312" w:hAnsi="宋体" w:eastAsia="仿宋_GB2312" w:cs="宋体"/>
          <w:kern w:val="0"/>
          <w:sz w:val="32"/>
          <w:szCs w:val="32"/>
        </w:rPr>
      </w:pPr>
      <w:r>
        <w:rPr>
          <w:rFonts w:hint="eastAsia" w:ascii="仿宋_GB2312" w:hAnsi="宋体" w:eastAsia="仿宋_GB2312" w:cs="宋体"/>
          <w:kern w:val="0"/>
          <w:sz w:val="32"/>
          <w:szCs w:val="32"/>
        </w:rPr>
        <w:t>北京市科学技术委员会、中关村科技园区管理委员会</w:t>
      </w:r>
    </w:p>
    <w:p>
      <w:pPr>
        <w:widowControl/>
        <w:spacing w:before="100" w:beforeAutospacing="1" w:after="100" w:afterAutospacing="1"/>
        <w:ind w:right="64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DE"/>
    <w:rsid w:val="00091B2E"/>
    <w:rsid w:val="003747DE"/>
    <w:rsid w:val="00392CA4"/>
    <w:rsid w:val="00536B86"/>
    <w:rsid w:val="00627BA6"/>
    <w:rsid w:val="006905A4"/>
    <w:rsid w:val="00872FC4"/>
    <w:rsid w:val="009B486C"/>
    <w:rsid w:val="00F504B6"/>
    <w:rsid w:val="00FF1B72"/>
    <w:rsid w:val="57BFF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209</Words>
  <Characters>1196</Characters>
  <Lines>9</Lines>
  <Paragraphs>2</Paragraphs>
  <TotalTime>13</TotalTime>
  <ScaleCrop>false</ScaleCrop>
  <LinksUpToDate>false</LinksUpToDate>
  <CharactersWithSpaces>1403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2024-08-27T17:03:00Z</dcterms:created>
  <dc:creator>Administrator</dc:creator>
  <cp:lastModifiedBy>uos</cp:lastModifiedBy>
  <dcterms:modified xsi:type="dcterms:W3CDTF">2024-08-27T18:39:42Z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ies>
</file>