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2C90D" w14:textId="63EF164D" w:rsidR="00606285" w:rsidRDefault="007F7C98" w:rsidP="007F7C98">
      <w:pPr>
        <w:pStyle w:val="1"/>
        <w:widowControl w:val="0"/>
        <w:spacing w:before="0" w:after="0" w:line="600" w:lineRule="exact"/>
        <w:jc w:val="center"/>
        <w:rPr>
          <w:rFonts w:ascii="Times New Roman" w:eastAsia="方正小标宋简体" w:hAnsi="Times New Roman" w:cs="Times New Roman"/>
          <w:color w:val="000000" w:themeColor="text1"/>
          <w:sz w:val="44"/>
          <w:szCs w:val="44"/>
        </w:rPr>
      </w:pPr>
      <w:r w:rsidRPr="007F7C98">
        <w:rPr>
          <w:rFonts w:ascii="Times New Roman" w:eastAsia="方正小标宋简体" w:hAnsi="Times New Roman" w:cs="Times New Roman" w:hint="eastAsia"/>
          <w:color w:val="000000" w:themeColor="text1"/>
          <w:sz w:val="44"/>
          <w:szCs w:val="44"/>
        </w:rPr>
        <w:t>《关于北京城市副中心鼓励专业运营主体和资本招商促进产业链式集聚的实施细则》的起草说明</w:t>
      </w:r>
    </w:p>
    <w:p w14:paraId="69738D5B" w14:textId="77777777" w:rsidR="007F7C98" w:rsidRPr="007F7C98" w:rsidRDefault="007F7C98" w:rsidP="007F7C98">
      <w:pPr>
        <w:widowControl w:val="0"/>
        <w:spacing w:line="600" w:lineRule="exact"/>
        <w:ind w:firstLineChars="200" w:firstLine="420"/>
        <w:jc w:val="both"/>
        <w:rPr>
          <w:rFonts w:eastAsiaTheme="minorEastAsia"/>
          <w:szCs w:val="24"/>
        </w:rPr>
      </w:pPr>
    </w:p>
    <w:p w14:paraId="6DE1DB67" w14:textId="0F7B5A4E" w:rsidR="007F7C98" w:rsidRDefault="00F42A69" w:rsidP="00782981">
      <w:pPr>
        <w:spacing w:line="560" w:lineRule="exact"/>
        <w:ind w:firstLineChars="200" w:firstLine="640"/>
        <w:jc w:val="both"/>
        <w:rPr>
          <w:rFonts w:ascii="仿宋_GB2312" w:eastAsia="仿宋_GB2312" w:hAnsi="仿宋_GB2312" w:cs="仿宋_GB2312"/>
          <w:color w:val="000000" w:themeColor="text1"/>
          <w:kern w:val="0"/>
          <w:sz w:val="32"/>
          <w:szCs w:val="32"/>
          <w:shd w:val="clear" w:color="auto" w:fill="FFFFFF"/>
          <w:lang w:bidi="ar"/>
        </w:rPr>
      </w:pPr>
      <w:r w:rsidRPr="00F42A69">
        <w:rPr>
          <w:rFonts w:ascii="仿宋_GB2312" w:eastAsia="仿宋_GB2312" w:hAnsi="仿宋_GB2312" w:cs="仿宋_GB2312" w:hint="eastAsia"/>
          <w:color w:val="000000" w:themeColor="text1"/>
          <w:kern w:val="0"/>
          <w:sz w:val="32"/>
          <w:szCs w:val="32"/>
          <w:shd w:val="clear" w:color="auto" w:fill="FFFFFF"/>
          <w:lang w:bidi="ar"/>
        </w:rPr>
        <w:t>为了拓宽招商渠道，加大资本招商，加快产业链式集聚，充分发挥产业园区和楼宇运营主体、基金管理机构的聚合带动效应，促进城市副中心产业高质量发展。</w:t>
      </w:r>
      <w:r w:rsidR="003725E9" w:rsidRPr="00D46A17">
        <w:rPr>
          <w:rFonts w:ascii="仿宋_GB2312" w:eastAsia="仿宋_GB2312" w:hAnsi="宋体" w:hint="eastAsia"/>
          <w:sz w:val="32"/>
          <w:szCs w:val="32"/>
        </w:rPr>
        <w:t>根据《关于加快推进北京城市副中心产业高质量发展的若干措施》（</w:t>
      </w:r>
      <w:r w:rsidR="003725E9" w:rsidRPr="00D46A17">
        <w:rPr>
          <w:rFonts w:ascii="仿宋_GB2312" w:eastAsia="仿宋_GB2312" w:hAnsi="宋体"/>
          <w:sz w:val="32"/>
          <w:szCs w:val="32"/>
        </w:rPr>
        <w:t>通政发〔2024〕8号</w:t>
      </w:r>
      <w:r w:rsidR="003725E9" w:rsidRPr="00D46A17">
        <w:rPr>
          <w:rFonts w:ascii="仿宋_GB2312" w:eastAsia="仿宋_GB2312" w:hAnsi="宋体" w:hint="eastAsia"/>
          <w:sz w:val="32"/>
          <w:szCs w:val="32"/>
        </w:rPr>
        <w:t>）第二条</w:t>
      </w:r>
      <w:r w:rsidR="00376568">
        <w:rPr>
          <w:rFonts w:ascii="仿宋_GB2312" w:eastAsia="仿宋_GB2312" w:hAnsi="宋体" w:hint="eastAsia"/>
          <w:sz w:val="32"/>
          <w:szCs w:val="32"/>
        </w:rPr>
        <w:t>、第六条</w:t>
      </w:r>
      <w:r w:rsidR="003725E9">
        <w:rPr>
          <w:rFonts w:ascii="仿宋_GB2312" w:eastAsia="仿宋_GB2312" w:hAnsi="宋体" w:hint="eastAsia"/>
          <w:sz w:val="32"/>
          <w:szCs w:val="32"/>
        </w:rPr>
        <w:t>，</w:t>
      </w:r>
      <w:r w:rsidRPr="007F7C98">
        <w:rPr>
          <w:rFonts w:ascii="仿宋_GB2312" w:eastAsia="仿宋_GB2312" w:hAnsi="仿宋_GB2312" w:cs="仿宋_GB2312" w:hint="eastAsia"/>
          <w:color w:val="000000" w:themeColor="text1"/>
          <w:kern w:val="0"/>
          <w:sz w:val="32"/>
          <w:szCs w:val="32"/>
          <w:shd w:val="clear" w:color="auto" w:fill="FFFFFF"/>
          <w:lang w:bidi="ar"/>
        </w:rPr>
        <w:t>通州</w:t>
      </w:r>
      <w:r w:rsidR="00CF2A5F" w:rsidRPr="00CF2A5F">
        <w:rPr>
          <w:rFonts w:ascii="仿宋_GB2312" w:eastAsia="仿宋_GB2312" w:hAnsi="仿宋_GB2312" w:cs="仿宋_GB2312" w:hint="eastAsia"/>
          <w:color w:val="000000" w:themeColor="text1"/>
          <w:kern w:val="0"/>
          <w:sz w:val="32"/>
          <w:szCs w:val="32"/>
          <w:shd w:val="clear" w:color="auto" w:fill="FFFFFF"/>
          <w:lang w:bidi="ar"/>
        </w:rPr>
        <w:t>区投资促进服务中心</w:t>
      </w:r>
      <w:r w:rsidRPr="007F7C98">
        <w:rPr>
          <w:rFonts w:ascii="仿宋_GB2312" w:eastAsia="仿宋_GB2312" w:hAnsi="仿宋_GB2312" w:cs="仿宋_GB2312" w:hint="eastAsia"/>
          <w:color w:val="000000" w:themeColor="text1"/>
          <w:kern w:val="0"/>
          <w:sz w:val="32"/>
          <w:szCs w:val="32"/>
          <w:shd w:val="clear" w:color="auto" w:fill="FFFFFF"/>
          <w:lang w:bidi="ar"/>
        </w:rPr>
        <w:t>牵头编制</w:t>
      </w:r>
      <w:r w:rsidRPr="00F42A69">
        <w:rPr>
          <w:rFonts w:ascii="仿宋_GB2312" w:eastAsia="仿宋_GB2312" w:hAnsi="仿宋_GB2312" w:cs="仿宋_GB2312"/>
          <w:color w:val="000000" w:themeColor="text1"/>
          <w:kern w:val="0"/>
          <w:sz w:val="32"/>
          <w:szCs w:val="32"/>
          <w:shd w:val="clear" w:color="auto" w:fill="FFFFFF"/>
          <w:lang w:bidi="ar"/>
        </w:rPr>
        <w:t>本实施细则</w:t>
      </w:r>
      <w:r w:rsidR="007F7C98" w:rsidRPr="007F7C98">
        <w:rPr>
          <w:rFonts w:ascii="仿宋_GB2312" w:eastAsia="仿宋_GB2312" w:hAnsi="仿宋_GB2312" w:cs="仿宋_GB2312" w:hint="eastAsia"/>
          <w:color w:val="000000" w:themeColor="text1"/>
          <w:kern w:val="0"/>
          <w:sz w:val="32"/>
          <w:szCs w:val="32"/>
          <w:shd w:val="clear" w:color="auto" w:fill="FFFFFF"/>
          <w:lang w:bidi="ar"/>
        </w:rPr>
        <w:t>,</w:t>
      </w:r>
      <w:r w:rsidR="007F7C98" w:rsidRPr="007F7C98">
        <w:rPr>
          <w:rFonts w:eastAsiaTheme="minorEastAsia" w:hint="eastAsia"/>
          <w:szCs w:val="24"/>
        </w:rPr>
        <w:t xml:space="preserve"> </w:t>
      </w:r>
      <w:r w:rsidR="00782981" w:rsidRPr="00782981">
        <w:rPr>
          <w:rFonts w:ascii="仿宋_GB2312" w:eastAsia="仿宋_GB2312" w:hAnsi="宋体" w:hint="eastAsia"/>
          <w:sz w:val="32"/>
          <w:szCs w:val="32"/>
        </w:rPr>
        <w:t>在</w:t>
      </w:r>
      <w:r w:rsidR="00782981" w:rsidRPr="007F7C98">
        <w:rPr>
          <w:rFonts w:ascii="仿宋_GB2312" w:eastAsia="仿宋_GB2312" w:hAnsi="仿宋_GB2312" w:cs="仿宋_GB2312" w:hint="eastAsia"/>
          <w:color w:val="000000" w:themeColor="text1"/>
          <w:kern w:val="0"/>
          <w:sz w:val="32"/>
          <w:szCs w:val="32"/>
          <w:shd w:val="clear" w:color="auto" w:fill="FFFFFF"/>
          <w:lang w:bidi="ar"/>
        </w:rPr>
        <w:t>征求</w:t>
      </w:r>
      <w:r w:rsidR="007F7C98" w:rsidRPr="00782981">
        <w:rPr>
          <w:rFonts w:ascii="仿宋_GB2312" w:eastAsia="仿宋_GB2312" w:hAnsi="宋体" w:hint="eastAsia"/>
          <w:sz w:val="32"/>
          <w:szCs w:val="32"/>
        </w:rPr>
        <w:t>各</w:t>
      </w:r>
      <w:r w:rsidR="007F7C98" w:rsidRPr="007F7C98">
        <w:rPr>
          <w:rFonts w:ascii="仿宋_GB2312" w:eastAsia="仿宋_GB2312" w:hAnsi="仿宋_GB2312" w:cs="仿宋_GB2312" w:hint="eastAsia"/>
          <w:color w:val="000000" w:themeColor="text1"/>
          <w:kern w:val="0"/>
          <w:sz w:val="32"/>
          <w:szCs w:val="32"/>
          <w:shd w:val="clear" w:color="auto" w:fill="FFFFFF"/>
          <w:lang w:bidi="ar"/>
        </w:rPr>
        <w:t>镇街及相关单位意见，</w:t>
      </w:r>
      <w:r w:rsidR="00782981">
        <w:rPr>
          <w:rFonts w:ascii="仿宋_GB2312" w:eastAsia="仿宋_GB2312" w:hAnsi="仿宋_GB2312" w:cs="仿宋_GB2312" w:hint="eastAsia"/>
          <w:color w:val="000000" w:themeColor="text1"/>
          <w:kern w:val="0"/>
          <w:sz w:val="32"/>
          <w:szCs w:val="32"/>
          <w:shd w:val="clear" w:color="auto" w:fill="FFFFFF"/>
          <w:lang w:bidi="ar"/>
        </w:rPr>
        <w:t>并</w:t>
      </w:r>
      <w:r w:rsidR="00B81011">
        <w:rPr>
          <w:rFonts w:ascii="仿宋_GB2312" w:eastAsia="仿宋_GB2312" w:hAnsi="仿宋_GB2312" w:cs="仿宋_GB2312" w:hint="eastAsia"/>
          <w:color w:val="000000" w:themeColor="text1"/>
          <w:kern w:val="0"/>
          <w:sz w:val="32"/>
          <w:szCs w:val="32"/>
          <w:shd w:val="clear" w:color="auto" w:fill="FFFFFF"/>
          <w:lang w:bidi="ar"/>
        </w:rPr>
        <w:t>修改完善后，现面向社会公开征求意见。</w:t>
      </w:r>
    </w:p>
    <w:p w14:paraId="7CBA86AE" w14:textId="140E4AA7" w:rsidR="00CF2A5F" w:rsidRDefault="00D46A17" w:rsidP="003E25EA">
      <w:pPr>
        <w:pStyle w:val="af5"/>
        <w:widowControl/>
        <w:numPr>
          <w:ilvl w:val="0"/>
          <w:numId w:val="3"/>
        </w:numPr>
        <w:shd w:val="clear" w:color="auto" w:fill="FFFFFF"/>
        <w:spacing w:beforeAutospacing="0" w:afterAutospacing="0" w:line="600" w:lineRule="exact"/>
        <w:jc w:val="both"/>
        <w:rPr>
          <w:rStyle w:val="20"/>
          <w:rFonts w:ascii="Arial" w:eastAsia="黑体" w:hAnsi="Arial"/>
          <w:bCs/>
          <w:sz w:val="32"/>
          <w:szCs w:val="24"/>
        </w:rPr>
      </w:pPr>
      <w:r>
        <w:rPr>
          <w:rStyle w:val="20"/>
          <w:rFonts w:ascii="Arial" w:eastAsia="黑体" w:hAnsi="Arial" w:hint="eastAsia"/>
          <w:bCs/>
          <w:sz w:val="32"/>
          <w:szCs w:val="24"/>
        </w:rPr>
        <w:t>编制情况</w:t>
      </w:r>
    </w:p>
    <w:p w14:paraId="63113906" w14:textId="6D8446F0" w:rsidR="00D46A17" w:rsidRPr="00D46A17" w:rsidRDefault="004E1933" w:rsidP="00D46A17">
      <w:pPr>
        <w:spacing w:line="560" w:lineRule="exact"/>
        <w:ind w:firstLineChars="200" w:firstLine="640"/>
        <w:rPr>
          <w:rStyle w:val="20"/>
          <w:rFonts w:ascii="仿宋_GB2312" w:eastAsia="仿宋_GB2312" w:hAnsi="宋体" w:cstheme="minorBidi"/>
          <w:caps w:val="0"/>
          <w:sz w:val="32"/>
          <w:szCs w:val="32"/>
        </w:rPr>
      </w:pPr>
      <w:r>
        <w:rPr>
          <w:rFonts w:ascii="仿宋_GB2312" w:eastAsia="仿宋_GB2312" w:hAnsi="宋体" w:hint="eastAsia"/>
          <w:sz w:val="32"/>
          <w:szCs w:val="32"/>
        </w:rPr>
        <w:t>实施细则</w:t>
      </w:r>
      <w:r w:rsidR="00D46A17" w:rsidRPr="00D46A17">
        <w:rPr>
          <w:rFonts w:ascii="仿宋_GB2312" w:eastAsia="仿宋_GB2312" w:hAnsi="宋体" w:hint="eastAsia"/>
          <w:sz w:val="32"/>
          <w:szCs w:val="32"/>
        </w:rPr>
        <w:t>根据《关于加快推进北京城市副中心产业高质量发展的若干措施》</w:t>
      </w:r>
      <w:bookmarkStart w:id="0" w:name="_Hlk160724733"/>
      <w:r w:rsidR="00D46A17" w:rsidRPr="00D46A17">
        <w:rPr>
          <w:rFonts w:ascii="仿宋_GB2312" w:eastAsia="仿宋_GB2312" w:hAnsi="宋体" w:hint="eastAsia"/>
          <w:sz w:val="32"/>
          <w:szCs w:val="32"/>
        </w:rPr>
        <w:t>（</w:t>
      </w:r>
      <w:r w:rsidR="00D46A17" w:rsidRPr="00D46A17">
        <w:rPr>
          <w:rFonts w:ascii="仿宋_GB2312" w:eastAsia="仿宋_GB2312" w:hAnsi="宋体"/>
          <w:sz w:val="32"/>
          <w:szCs w:val="32"/>
        </w:rPr>
        <w:t>通政发〔2024〕8号</w:t>
      </w:r>
      <w:r w:rsidR="00D46A17" w:rsidRPr="00D46A17">
        <w:rPr>
          <w:rFonts w:ascii="仿宋_GB2312" w:eastAsia="仿宋_GB2312" w:hAnsi="宋体" w:hint="eastAsia"/>
          <w:sz w:val="32"/>
          <w:szCs w:val="32"/>
        </w:rPr>
        <w:t>）</w:t>
      </w:r>
      <w:bookmarkEnd w:id="0"/>
      <w:r w:rsidR="00D46A17" w:rsidRPr="00D46A17">
        <w:rPr>
          <w:rFonts w:ascii="仿宋_GB2312" w:eastAsia="仿宋_GB2312" w:hAnsi="宋体" w:hint="eastAsia"/>
          <w:sz w:val="32"/>
          <w:szCs w:val="32"/>
        </w:rPr>
        <w:t>第二条</w:t>
      </w:r>
      <w:r w:rsidR="00376568">
        <w:rPr>
          <w:rFonts w:ascii="仿宋_GB2312" w:eastAsia="仿宋_GB2312" w:hAnsi="宋体" w:hint="eastAsia"/>
          <w:sz w:val="32"/>
          <w:szCs w:val="32"/>
        </w:rPr>
        <w:t>、第六条</w:t>
      </w:r>
      <w:r w:rsidR="00D46A17" w:rsidRPr="00D46A17">
        <w:rPr>
          <w:rFonts w:ascii="仿宋_GB2312" w:eastAsia="仿宋_GB2312" w:hAnsi="宋体" w:hint="eastAsia"/>
          <w:sz w:val="32"/>
          <w:szCs w:val="32"/>
        </w:rPr>
        <w:t>，</w:t>
      </w:r>
      <w:r w:rsidR="00B81011">
        <w:rPr>
          <w:rFonts w:ascii="仿宋_GB2312" w:eastAsia="仿宋_GB2312" w:hAnsi="宋体" w:hint="eastAsia"/>
          <w:sz w:val="32"/>
          <w:szCs w:val="32"/>
        </w:rPr>
        <w:t>通州</w:t>
      </w:r>
      <w:r w:rsidR="00B81011" w:rsidRPr="00D46A17">
        <w:rPr>
          <w:rFonts w:ascii="仿宋_GB2312" w:eastAsia="仿宋_GB2312" w:hAnsi="宋体" w:hint="eastAsia"/>
          <w:sz w:val="32"/>
          <w:szCs w:val="32"/>
        </w:rPr>
        <w:t>区</w:t>
      </w:r>
      <w:r w:rsidR="00B81011" w:rsidRPr="00CF2A5F">
        <w:rPr>
          <w:rFonts w:ascii="仿宋_GB2312" w:eastAsia="仿宋_GB2312" w:hAnsi="仿宋_GB2312" w:cs="仿宋_GB2312" w:hint="eastAsia"/>
          <w:color w:val="000000" w:themeColor="text1"/>
          <w:kern w:val="0"/>
          <w:sz w:val="32"/>
          <w:szCs w:val="32"/>
          <w:shd w:val="clear" w:color="auto" w:fill="FFFFFF"/>
          <w:lang w:bidi="ar"/>
        </w:rPr>
        <w:t>投资促进服务中心</w:t>
      </w:r>
      <w:r w:rsidR="00B81011">
        <w:rPr>
          <w:rFonts w:ascii="仿宋_GB2312" w:eastAsia="仿宋_GB2312" w:hAnsi="仿宋_GB2312" w:cs="仿宋_GB2312" w:hint="eastAsia"/>
          <w:color w:val="000000" w:themeColor="text1"/>
          <w:kern w:val="0"/>
          <w:sz w:val="32"/>
          <w:szCs w:val="32"/>
          <w:shd w:val="clear" w:color="auto" w:fill="FFFFFF"/>
          <w:lang w:bidi="ar"/>
        </w:rPr>
        <w:t>调研了区内各产业园区和商务楼宇，对比研究了其他地区的相关政策，结合</w:t>
      </w:r>
      <w:r w:rsidR="00D46A17" w:rsidRPr="00D46A17">
        <w:rPr>
          <w:rFonts w:ascii="仿宋_GB2312" w:eastAsia="仿宋_GB2312" w:hAnsi="宋体" w:hint="eastAsia"/>
          <w:sz w:val="32"/>
          <w:szCs w:val="32"/>
        </w:rPr>
        <w:t>通州区实际</w:t>
      </w:r>
      <w:r w:rsidR="00B81011">
        <w:rPr>
          <w:rFonts w:ascii="仿宋_GB2312" w:eastAsia="仿宋_GB2312" w:hAnsi="宋体" w:hint="eastAsia"/>
          <w:sz w:val="32"/>
          <w:szCs w:val="32"/>
        </w:rPr>
        <w:t>情况</w:t>
      </w:r>
      <w:r w:rsidR="00D46A17" w:rsidRPr="00D46A17">
        <w:rPr>
          <w:rFonts w:ascii="仿宋_GB2312" w:eastAsia="仿宋_GB2312" w:hAnsi="宋体" w:hint="eastAsia"/>
          <w:sz w:val="32"/>
          <w:szCs w:val="32"/>
        </w:rPr>
        <w:t>，</w:t>
      </w:r>
      <w:r w:rsidR="00B81011">
        <w:rPr>
          <w:rFonts w:ascii="仿宋_GB2312" w:eastAsia="仿宋_GB2312" w:hAnsi="宋体" w:hint="eastAsia"/>
          <w:sz w:val="32"/>
          <w:szCs w:val="32"/>
        </w:rPr>
        <w:t>形成了本实施细则</w:t>
      </w:r>
      <w:r w:rsidR="00D46A17" w:rsidRPr="00D46A17">
        <w:rPr>
          <w:rFonts w:ascii="仿宋_GB2312" w:eastAsia="仿宋_GB2312" w:hAnsi="宋体" w:hint="eastAsia"/>
          <w:sz w:val="32"/>
          <w:szCs w:val="32"/>
        </w:rPr>
        <w:t>。</w:t>
      </w:r>
    </w:p>
    <w:p w14:paraId="017BBF17" w14:textId="6DB589A0" w:rsidR="00D46A17" w:rsidRDefault="00D46A17" w:rsidP="003E25EA">
      <w:pPr>
        <w:pStyle w:val="af5"/>
        <w:widowControl/>
        <w:numPr>
          <w:ilvl w:val="0"/>
          <w:numId w:val="3"/>
        </w:numPr>
        <w:shd w:val="clear" w:color="auto" w:fill="FFFFFF"/>
        <w:spacing w:beforeAutospacing="0" w:afterAutospacing="0" w:line="600" w:lineRule="exact"/>
        <w:jc w:val="both"/>
        <w:rPr>
          <w:rStyle w:val="20"/>
          <w:rFonts w:ascii="Arial" w:eastAsia="黑体" w:hAnsi="Arial"/>
          <w:bCs/>
          <w:sz w:val="32"/>
          <w:szCs w:val="24"/>
        </w:rPr>
      </w:pPr>
      <w:r>
        <w:rPr>
          <w:rStyle w:val="20"/>
          <w:rFonts w:ascii="Arial" w:eastAsia="黑体" w:hAnsi="Arial" w:hint="eastAsia"/>
          <w:bCs/>
          <w:sz w:val="32"/>
          <w:szCs w:val="24"/>
        </w:rPr>
        <w:t>主要内容</w:t>
      </w:r>
    </w:p>
    <w:p w14:paraId="3254B467" w14:textId="2C6279C9" w:rsidR="00CB4ABA" w:rsidRPr="00CB4ABA" w:rsidRDefault="00CB4ABA" w:rsidP="00CB4ABA">
      <w:pPr>
        <w:spacing w:line="600" w:lineRule="exact"/>
        <w:ind w:leftChars="5" w:left="10" w:firstLineChars="200" w:firstLine="640"/>
        <w:rPr>
          <w:rFonts w:ascii="仿宋_GB2312" w:eastAsia="仿宋_GB2312" w:hAnsi="仿宋_GB2312" w:cs="仿宋_GB2312"/>
          <w:bCs/>
          <w:sz w:val="32"/>
          <w:szCs w:val="32"/>
        </w:rPr>
      </w:pPr>
      <w:r w:rsidRPr="00CB4ABA">
        <w:rPr>
          <w:rFonts w:ascii="仿宋_GB2312" w:eastAsia="仿宋_GB2312" w:hAnsi="仿宋_GB2312" w:cs="仿宋_GB2312" w:hint="eastAsia"/>
          <w:bCs/>
          <w:sz w:val="32"/>
          <w:szCs w:val="32"/>
        </w:rPr>
        <w:t>细则共十条，包括适用范围、产业园区运营主体奖励、楼宇运营主体奖励、基金管理机构奖励、主体认定、</w:t>
      </w:r>
      <w:r w:rsidR="00133FF1">
        <w:rPr>
          <w:rFonts w:ascii="仿宋_GB2312" w:eastAsia="仿宋_GB2312" w:hAnsi="仿宋_GB2312" w:cs="仿宋_GB2312" w:hint="eastAsia"/>
          <w:bCs/>
          <w:sz w:val="32"/>
          <w:szCs w:val="32"/>
        </w:rPr>
        <w:t>奖励原则和</w:t>
      </w:r>
      <w:r w:rsidR="00AF5975">
        <w:rPr>
          <w:rFonts w:ascii="仿宋_GB2312" w:eastAsia="仿宋_GB2312" w:hAnsi="仿宋_GB2312" w:cs="仿宋_GB2312" w:hint="eastAsia"/>
          <w:bCs/>
          <w:sz w:val="32"/>
          <w:szCs w:val="32"/>
        </w:rPr>
        <w:t>申报</w:t>
      </w:r>
      <w:r w:rsidR="00133FF1">
        <w:rPr>
          <w:rFonts w:ascii="仿宋_GB2312" w:eastAsia="仿宋_GB2312" w:hAnsi="仿宋_GB2312" w:cs="仿宋_GB2312" w:hint="eastAsia"/>
          <w:bCs/>
          <w:sz w:val="32"/>
          <w:szCs w:val="32"/>
        </w:rPr>
        <w:t>流程</w:t>
      </w:r>
      <w:r w:rsidRPr="00CB4ABA">
        <w:rPr>
          <w:rFonts w:ascii="仿宋_GB2312" w:eastAsia="仿宋_GB2312" w:hAnsi="仿宋_GB2312" w:cs="仿宋_GB2312" w:hint="eastAsia"/>
          <w:bCs/>
          <w:sz w:val="32"/>
          <w:szCs w:val="32"/>
        </w:rPr>
        <w:t>等内容，主要内容包括三个要点。</w:t>
      </w:r>
    </w:p>
    <w:p w14:paraId="7699A383" w14:textId="227567C2" w:rsidR="00CB4ABA" w:rsidRPr="00CB4ABA" w:rsidRDefault="00133FF1" w:rsidP="00CB4ABA">
      <w:pPr>
        <w:spacing w:line="600" w:lineRule="exact"/>
        <w:ind w:leftChars="5" w:left="1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适用范围</w:t>
      </w:r>
      <w:r w:rsidR="00CB4ABA" w:rsidRPr="00CB4ABA">
        <w:rPr>
          <w:rFonts w:ascii="仿宋_GB2312" w:eastAsia="仿宋_GB2312" w:hAnsi="仿宋_GB2312" w:cs="仿宋_GB2312" w:hint="eastAsia"/>
          <w:bCs/>
          <w:sz w:val="32"/>
          <w:szCs w:val="32"/>
        </w:rPr>
        <w:t>主要包括：</w:t>
      </w:r>
      <w:r w:rsidRPr="00E74BD8">
        <w:rPr>
          <w:rFonts w:ascii="仿宋_GB2312" w:eastAsia="仿宋_GB2312" w:hint="eastAsia"/>
          <w:sz w:val="32"/>
          <w:szCs w:val="32"/>
        </w:rPr>
        <w:t>为通州区引进符合产业发展方向的</w:t>
      </w:r>
      <w:bookmarkStart w:id="1" w:name="_Hlk161040655"/>
      <w:proofErr w:type="gramStart"/>
      <w:r w:rsidRPr="00E74BD8">
        <w:rPr>
          <w:rFonts w:ascii="仿宋_GB2312" w:eastAsia="仿宋_GB2312" w:hint="eastAsia"/>
          <w:sz w:val="32"/>
          <w:szCs w:val="32"/>
        </w:rPr>
        <w:t>延链补链强链</w:t>
      </w:r>
      <w:proofErr w:type="gramEnd"/>
      <w:r w:rsidRPr="00E74BD8">
        <w:rPr>
          <w:rFonts w:ascii="仿宋_GB2312" w:eastAsia="仿宋_GB2312" w:hint="eastAsia"/>
          <w:sz w:val="32"/>
          <w:szCs w:val="32"/>
        </w:rPr>
        <w:t>项目</w:t>
      </w:r>
      <w:bookmarkEnd w:id="1"/>
      <w:r w:rsidRPr="00E74BD8">
        <w:rPr>
          <w:rFonts w:ascii="仿宋_GB2312" w:eastAsia="仿宋_GB2312" w:hint="eastAsia"/>
          <w:sz w:val="32"/>
          <w:szCs w:val="32"/>
        </w:rPr>
        <w:t>，促进产业链集聚的产业园区运营主体、楼宇运营主体和基金管理机构</w:t>
      </w:r>
      <w:r w:rsidR="00CB4ABA" w:rsidRPr="00CB4ABA">
        <w:rPr>
          <w:rFonts w:ascii="仿宋_GB2312" w:eastAsia="仿宋_GB2312" w:hAnsi="仿宋_GB2312" w:cs="仿宋_GB2312" w:hint="eastAsia"/>
          <w:bCs/>
          <w:sz w:val="32"/>
          <w:szCs w:val="32"/>
        </w:rPr>
        <w:t>。</w:t>
      </w:r>
    </w:p>
    <w:p w14:paraId="7F22DF75" w14:textId="6EF1C85B" w:rsidR="00CB4ABA" w:rsidRPr="00CB4ABA" w:rsidRDefault="00133FF1" w:rsidP="00CB4ABA">
      <w:pPr>
        <w:spacing w:line="600" w:lineRule="exact"/>
        <w:ind w:leftChars="5" w:left="1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奖励</w:t>
      </w:r>
      <w:r w:rsidR="00A120F4">
        <w:rPr>
          <w:rFonts w:ascii="仿宋_GB2312" w:eastAsia="仿宋_GB2312" w:hAnsi="仿宋_GB2312" w:cs="仿宋_GB2312" w:hint="eastAsia"/>
          <w:bCs/>
          <w:sz w:val="32"/>
          <w:szCs w:val="32"/>
        </w:rPr>
        <w:t>内容</w:t>
      </w:r>
      <w:r w:rsidR="00CB4ABA" w:rsidRPr="00CB4ABA">
        <w:rPr>
          <w:rFonts w:ascii="仿宋_GB2312" w:eastAsia="仿宋_GB2312" w:hAnsi="仿宋_GB2312" w:cs="仿宋_GB2312" w:hint="eastAsia"/>
          <w:bCs/>
          <w:sz w:val="32"/>
          <w:szCs w:val="32"/>
        </w:rPr>
        <w:t>主要包括：一是</w:t>
      </w:r>
      <w:r w:rsidR="00562F49" w:rsidRPr="00562F49">
        <w:rPr>
          <w:rFonts w:ascii="仿宋_GB2312" w:eastAsia="仿宋_GB2312" w:hAnsi="仿宋_GB2312" w:cs="仿宋_GB2312" w:hint="eastAsia"/>
          <w:bCs/>
          <w:kern w:val="44"/>
          <w:sz w:val="32"/>
          <w:szCs w:val="32"/>
        </w:rPr>
        <w:t>鼓励</w:t>
      </w:r>
      <w:r>
        <w:rPr>
          <w:rFonts w:ascii="仿宋_GB2312" w:eastAsia="仿宋_GB2312" w:hAnsi="仿宋_GB2312" w:cs="仿宋_GB2312" w:hint="eastAsia"/>
          <w:bCs/>
          <w:kern w:val="44"/>
          <w:sz w:val="32"/>
          <w:szCs w:val="32"/>
        </w:rPr>
        <w:t>具有</w:t>
      </w:r>
      <w:r w:rsidR="00562F49" w:rsidRPr="00562F49">
        <w:rPr>
          <w:rFonts w:ascii="仿宋_GB2312" w:eastAsia="仿宋_GB2312" w:hAnsi="仿宋_GB2312" w:cs="仿宋_GB2312" w:hint="eastAsia"/>
          <w:bCs/>
          <w:kern w:val="44"/>
          <w:sz w:val="32"/>
          <w:szCs w:val="32"/>
        </w:rPr>
        <w:t>产业服务功能产业园区运营主体</w:t>
      </w:r>
      <w:r>
        <w:rPr>
          <w:rFonts w:ascii="仿宋_GB2312" w:eastAsia="仿宋_GB2312" w:hAnsi="仿宋_GB2312" w:cs="仿宋_GB2312" w:hint="eastAsia"/>
          <w:bCs/>
          <w:kern w:val="44"/>
          <w:sz w:val="32"/>
          <w:szCs w:val="32"/>
        </w:rPr>
        <w:t>，</w:t>
      </w:r>
      <w:r w:rsidRPr="00E74BD8">
        <w:rPr>
          <w:rFonts w:ascii="仿宋_GB2312" w:eastAsia="仿宋_GB2312" w:hAnsi="仿宋_GB2312" w:cs="仿宋_GB2312" w:hint="eastAsia"/>
          <w:sz w:val="32"/>
          <w:szCs w:val="32"/>
        </w:rPr>
        <w:t>发挥其在招商引资、产业集聚、创新创业等方面的平台载体作用</w:t>
      </w:r>
      <w:r>
        <w:rPr>
          <w:rFonts w:ascii="仿宋_GB2312" w:eastAsia="仿宋_GB2312" w:hAnsi="仿宋_GB2312" w:cs="仿宋_GB2312" w:hint="eastAsia"/>
          <w:sz w:val="32"/>
          <w:szCs w:val="32"/>
        </w:rPr>
        <w:t>，达到既定标准的</w:t>
      </w:r>
      <w:r>
        <w:rPr>
          <w:rFonts w:ascii="仿宋_GB2312" w:eastAsia="仿宋_GB2312" w:hAnsi="仿宋_GB2312" w:cs="仿宋_GB2312" w:hint="eastAsia"/>
          <w:bCs/>
          <w:kern w:val="44"/>
          <w:sz w:val="32"/>
          <w:szCs w:val="32"/>
        </w:rPr>
        <w:t>给予奖励；</w:t>
      </w:r>
      <w:r w:rsidR="00CB4ABA" w:rsidRPr="00CB4ABA">
        <w:rPr>
          <w:rFonts w:ascii="仿宋_GB2312" w:eastAsia="仿宋_GB2312" w:hAnsi="仿宋_GB2312" w:cs="仿宋_GB2312" w:hint="eastAsia"/>
          <w:bCs/>
          <w:sz w:val="32"/>
          <w:szCs w:val="32"/>
        </w:rPr>
        <w:t>二是</w:t>
      </w:r>
      <w:r w:rsidR="00562F49" w:rsidRPr="00562F49">
        <w:rPr>
          <w:rFonts w:ascii="仿宋_GB2312" w:eastAsia="仿宋_GB2312" w:hint="eastAsia"/>
          <w:sz w:val="32"/>
          <w:szCs w:val="32"/>
        </w:rPr>
        <w:t>支持楼宇运营主体积极导入</w:t>
      </w:r>
      <w:r w:rsidRPr="00562F49">
        <w:rPr>
          <w:rFonts w:ascii="仿宋_GB2312" w:eastAsia="仿宋_GB2312" w:hint="eastAsia"/>
          <w:sz w:val="32"/>
          <w:szCs w:val="32"/>
        </w:rPr>
        <w:t>重大产业项目</w:t>
      </w:r>
      <w:r>
        <w:rPr>
          <w:rFonts w:ascii="仿宋_GB2312" w:eastAsia="仿宋_GB2312" w:hint="eastAsia"/>
          <w:sz w:val="32"/>
          <w:szCs w:val="32"/>
        </w:rPr>
        <w:t>，</w:t>
      </w:r>
      <w:r w:rsidR="00562F49" w:rsidRPr="00562F49">
        <w:rPr>
          <w:rFonts w:ascii="仿宋_GB2312" w:eastAsia="仿宋_GB2312" w:hint="eastAsia"/>
          <w:sz w:val="32"/>
          <w:szCs w:val="32"/>
        </w:rPr>
        <w:t>促进产业</w:t>
      </w:r>
      <w:proofErr w:type="gramStart"/>
      <w:r w:rsidR="00562F49" w:rsidRPr="00562F49">
        <w:rPr>
          <w:rFonts w:ascii="仿宋_GB2312" w:eastAsia="仿宋_GB2312" w:hint="eastAsia"/>
          <w:sz w:val="32"/>
          <w:szCs w:val="32"/>
        </w:rPr>
        <w:t>集群化</w:t>
      </w:r>
      <w:proofErr w:type="gramEnd"/>
      <w:r w:rsidR="00562F49" w:rsidRPr="00562F49">
        <w:rPr>
          <w:rFonts w:ascii="仿宋_GB2312" w:eastAsia="仿宋_GB2312" w:hint="eastAsia"/>
          <w:sz w:val="32"/>
          <w:szCs w:val="32"/>
        </w:rPr>
        <w:t>发展</w:t>
      </w:r>
      <w:r w:rsidR="00562F49">
        <w:rPr>
          <w:rFonts w:ascii="仿宋_GB2312" w:eastAsia="仿宋_GB2312" w:hint="eastAsia"/>
          <w:sz w:val="32"/>
          <w:szCs w:val="32"/>
        </w:rPr>
        <w:t>，</w:t>
      </w:r>
      <w:r w:rsidRPr="00E74BD8">
        <w:rPr>
          <w:rFonts w:ascii="仿宋_GB2312" w:eastAsia="仿宋_GB2312" w:hint="eastAsia"/>
          <w:sz w:val="32"/>
          <w:szCs w:val="32"/>
        </w:rPr>
        <w:t>持续提升楼宇品质、经济业态、产出效益和品牌效应，</w:t>
      </w:r>
      <w:r>
        <w:rPr>
          <w:rFonts w:ascii="仿宋_GB2312" w:eastAsia="仿宋_GB2312" w:hAnsi="仿宋_GB2312" w:cs="仿宋_GB2312" w:hint="eastAsia"/>
          <w:sz w:val="32"/>
          <w:szCs w:val="32"/>
        </w:rPr>
        <w:t>达到既定标准的</w:t>
      </w:r>
      <w:r>
        <w:rPr>
          <w:rFonts w:ascii="仿宋_GB2312" w:eastAsia="仿宋_GB2312" w:hAnsi="仿宋_GB2312" w:cs="仿宋_GB2312" w:hint="eastAsia"/>
          <w:bCs/>
          <w:kern w:val="44"/>
          <w:sz w:val="32"/>
          <w:szCs w:val="32"/>
        </w:rPr>
        <w:t>给予奖励</w:t>
      </w:r>
      <w:r w:rsidR="00CB4ABA" w:rsidRPr="00CB4ABA">
        <w:rPr>
          <w:rFonts w:ascii="仿宋_GB2312" w:eastAsia="仿宋_GB2312" w:hAnsi="仿宋_GB2312" w:cs="仿宋_GB2312" w:hint="eastAsia"/>
          <w:bCs/>
          <w:sz w:val="32"/>
          <w:szCs w:val="32"/>
        </w:rPr>
        <w:t>；三是</w:t>
      </w:r>
      <w:r w:rsidR="00562F49" w:rsidRPr="00562F49">
        <w:rPr>
          <w:rFonts w:ascii="仿宋_GB2312" w:eastAsia="仿宋_GB2312" w:hAnsi="仿宋_GB2312" w:cs="仿宋_GB2312" w:hint="eastAsia"/>
          <w:bCs/>
          <w:sz w:val="32"/>
          <w:szCs w:val="32"/>
        </w:rPr>
        <w:t>鼓励基金管理机构以资本合作方式，</w:t>
      </w:r>
      <w:r w:rsidR="00562F49">
        <w:rPr>
          <w:rFonts w:ascii="仿宋_GB2312" w:eastAsia="仿宋_GB2312" w:hAnsi="仿宋_GB2312" w:cs="仿宋_GB2312" w:hint="eastAsia"/>
          <w:bCs/>
          <w:sz w:val="32"/>
          <w:szCs w:val="32"/>
        </w:rPr>
        <w:t>带动优质项目落户，</w:t>
      </w:r>
      <w:r>
        <w:rPr>
          <w:rFonts w:ascii="仿宋_GB2312" w:eastAsia="仿宋_GB2312" w:hAnsi="仿宋_GB2312" w:cs="仿宋_GB2312" w:hint="eastAsia"/>
          <w:bCs/>
          <w:sz w:val="32"/>
          <w:szCs w:val="32"/>
        </w:rPr>
        <w:t>对</w:t>
      </w:r>
      <w:r w:rsidR="00562F49" w:rsidRPr="005F68A6">
        <w:rPr>
          <w:rFonts w:ascii="仿宋_GB2312" w:eastAsia="仿宋_GB2312" w:hint="eastAsia"/>
          <w:sz w:val="32"/>
          <w:szCs w:val="32"/>
        </w:rPr>
        <w:t>新引入的企业</w:t>
      </w:r>
      <w:r w:rsidR="00E3032F">
        <w:rPr>
          <w:rFonts w:ascii="仿宋_GB2312" w:eastAsia="仿宋_GB2312" w:hint="eastAsia"/>
          <w:sz w:val="32"/>
          <w:szCs w:val="32"/>
        </w:rPr>
        <w:t>累计</w:t>
      </w:r>
      <w:r>
        <w:rPr>
          <w:rFonts w:ascii="仿宋_GB2312" w:eastAsia="仿宋_GB2312" w:hint="eastAsia"/>
          <w:sz w:val="32"/>
          <w:szCs w:val="32"/>
        </w:rPr>
        <w:t>达到一定规模的，</w:t>
      </w:r>
      <w:r w:rsidR="00E3032F">
        <w:rPr>
          <w:rFonts w:ascii="仿宋_GB2312" w:eastAsia="仿宋_GB2312" w:hint="eastAsia"/>
          <w:sz w:val="32"/>
          <w:szCs w:val="32"/>
        </w:rPr>
        <w:t>可按既定比例给予</w:t>
      </w:r>
      <w:r w:rsidR="00562F49">
        <w:rPr>
          <w:rFonts w:ascii="仿宋_GB2312" w:eastAsia="仿宋_GB2312" w:hint="eastAsia"/>
          <w:sz w:val="32"/>
          <w:szCs w:val="32"/>
        </w:rPr>
        <w:t>合并计算奖励</w:t>
      </w:r>
      <w:r w:rsidR="00CB4ABA" w:rsidRPr="00CB4ABA">
        <w:rPr>
          <w:rFonts w:ascii="仿宋_GB2312" w:eastAsia="仿宋_GB2312" w:hAnsi="仿宋_GB2312" w:cs="仿宋_GB2312" w:hint="eastAsia"/>
          <w:bCs/>
          <w:sz w:val="32"/>
          <w:szCs w:val="32"/>
        </w:rPr>
        <w:t>。</w:t>
      </w:r>
    </w:p>
    <w:p w14:paraId="55B386DD" w14:textId="22C65243" w:rsidR="00D46A17" w:rsidRDefault="00E3032F" w:rsidP="00CB4ABA">
      <w:pPr>
        <w:spacing w:line="560" w:lineRule="exact"/>
        <w:ind w:leftChars="5" w:left="10" w:firstLineChars="200" w:firstLine="640"/>
        <w:rPr>
          <w:rFonts w:ascii="仿宋_GB2312" w:eastAsia="仿宋_GB2312" w:hAnsi="仿宋_GB2312" w:cs="仿宋_GB2312"/>
          <w:bCs/>
          <w:sz w:val="32"/>
          <w:szCs w:val="32"/>
        </w:rPr>
      </w:pPr>
      <w:r w:rsidRPr="00E3032F">
        <w:rPr>
          <w:rFonts w:ascii="仿宋_GB2312" w:eastAsia="仿宋_GB2312" w:hAnsi="仿宋_GB2312" w:cs="仿宋_GB2312" w:hint="eastAsia"/>
          <w:bCs/>
          <w:sz w:val="32"/>
          <w:szCs w:val="32"/>
        </w:rPr>
        <w:t>实施细则所涉及的奖励条款与通州区其他产业奖励政策产生重叠的，按照“从优不重复”的原则执行</w:t>
      </w:r>
      <w:r>
        <w:rPr>
          <w:rFonts w:ascii="仿宋_GB2312" w:eastAsia="仿宋_GB2312" w:hAnsi="仿宋_GB2312" w:cs="仿宋_GB2312" w:hint="eastAsia"/>
          <w:bCs/>
          <w:sz w:val="32"/>
          <w:szCs w:val="32"/>
        </w:rPr>
        <w:t>。</w:t>
      </w:r>
      <w:r w:rsidRPr="00E74BD8">
        <w:rPr>
          <w:rFonts w:ascii="仿宋_GB2312" w:eastAsia="仿宋_GB2312" w:hAnsi="仿宋_GB2312" w:cs="仿宋_GB2312" w:hint="eastAsia"/>
          <w:sz w:val="32"/>
          <w:szCs w:val="32"/>
          <w:lang w:bidi="ar"/>
        </w:rPr>
        <w:t>区投资促进服务中心定期发布奖励申报通知，</w:t>
      </w:r>
      <w:r w:rsidRPr="00E74BD8">
        <w:rPr>
          <w:rFonts w:eastAsia="仿宋_GB2312" w:hAnsi="宋体" w:cs="宋体" w:hint="eastAsia"/>
          <w:sz w:val="32"/>
          <w:szCs w:val="32"/>
        </w:rPr>
        <w:t>符合条件的</w:t>
      </w:r>
      <w:r w:rsidRPr="00E74BD8">
        <w:rPr>
          <w:rFonts w:ascii="仿宋_GB2312" w:eastAsia="仿宋_GB2312" w:hAnsi="仿宋_GB2312" w:cs="仿宋_GB2312" w:hint="eastAsia"/>
          <w:sz w:val="32"/>
          <w:szCs w:val="32"/>
        </w:rPr>
        <w:t>园区运营主体、楼宇运营主体和基金管理机构</w:t>
      </w:r>
      <w:r>
        <w:rPr>
          <w:rFonts w:ascii="仿宋_GB2312" w:eastAsia="仿宋_GB2312" w:hAnsi="仿宋_GB2312" w:cs="仿宋_GB2312" w:hint="eastAsia"/>
          <w:sz w:val="32"/>
          <w:szCs w:val="32"/>
        </w:rPr>
        <w:t>按要求提交申报材料</w:t>
      </w:r>
      <w:r w:rsidR="00CB4ABA" w:rsidRPr="00CB4ABA">
        <w:rPr>
          <w:rFonts w:ascii="仿宋_GB2312" w:eastAsia="仿宋_GB2312" w:hAnsi="仿宋_GB2312" w:cs="仿宋_GB2312" w:hint="eastAsia"/>
          <w:bCs/>
          <w:sz w:val="32"/>
          <w:szCs w:val="32"/>
        </w:rPr>
        <w:t>。</w:t>
      </w:r>
    </w:p>
    <w:sectPr w:rsidR="00D46A17" w:rsidSect="00C163AB">
      <w:pgSz w:w="11906" w:h="16838" w:code="9"/>
      <w:pgMar w:top="1418" w:right="1588" w:bottom="1418" w:left="1588" w:header="851" w:footer="992" w:gutter="0"/>
      <w:cols w:space="425"/>
      <w:titlePg/>
      <w:docGrid w:type="lines" w:linePitch="1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E8040" w14:textId="77777777" w:rsidR="007B47D8" w:rsidRDefault="007B47D8" w:rsidP="003725E9">
      <w:pPr>
        <w:spacing w:line="240" w:lineRule="auto"/>
      </w:pPr>
      <w:r>
        <w:separator/>
      </w:r>
    </w:p>
  </w:endnote>
  <w:endnote w:type="continuationSeparator" w:id="0">
    <w:p w14:paraId="0F2255A1" w14:textId="77777777" w:rsidR="007B47D8" w:rsidRDefault="007B47D8" w:rsidP="003725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67672" w14:textId="77777777" w:rsidR="007B47D8" w:rsidRDefault="007B47D8" w:rsidP="003725E9">
      <w:pPr>
        <w:spacing w:line="240" w:lineRule="auto"/>
      </w:pPr>
      <w:r>
        <w:separator/>
      </w:r>
    </w:p>
  </w:footnote>
  <w:footnote w:type="continuationSeparator" w:id="0">
    <w:p w14:paraId="2829CD42" w14:textId="77777777" w:rsidR="007B47D8" w:rsidRDefault="007B47D8" w:rsidP="003725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A75730"/>
    <w:multiLevelType w:val="multilevel"/>
    <w:tmpl w:val="CBB681AC"/>
    <w:lvl w:ilvl="0">
      <w:start w:val="1"/>
      <w:numFmt w:val="decimal"/>
      <w:lvlText w:val="第%1条"/>
      <w:lvlJc w:val="left"/>
      <w:pPr>
        <w:tabs>
          <w:tab w:val="left" w:pos="1276"/>
        </w:tabs>
        <w:ind w:left="1276" w:hanging="425"/>
      </w:pPr>
      <w:rPr>
        <w:rFonts w:ascii="Times New Roman" w:hAnsi="Times New Roman" w:cs="Times New Roman" w:hint="eastAsia"/>
        <w:b/>
        <w:bCs w:val="0"/>
        <w:i w:val="0"/>
        <w:iCs w:val="0"/>
        <w:caps w:val="0"/>
        <w:smallCaps w:val="0"/>
        <w:strike w:val="0"/>
        <w:dstrike w:val="0"/>
        <w:snapToGrid w:val="0"/>
        <w:color w:val="000000"/>
        <w:spacing w:val="0"/>
        <w:w w:val="0"/>
        <w:kern w:val="0"/>
        <w:position w:val="0"/>
        <w:szCs w:val="16"/>
        <w:u w:val="none"/>
      </w:rPr>
    </w:lvl>
    <w:lvl w:ilvl="1">
      <w:start w:val="1"/>
      <w:numFmt w:val="decimal"/>
      <w:lvlText w:val="%1.%2"/>
      <w:lvlJc w:val="left"/>
      <w:pPr>
        <w:tabs>
          <w:tab w:val="left" w:pos="2977"/>
        </w:tabs>
        <w:ind w:left="2977" w:hanging="567"/>
      </w:pPr>
      <w:rPr>
        <w:rFonts w:ascii="Times New Roman" w:hAnsi="Times New Roman" w:cs="Times New Roman" w:hint="default"/>
        <w:b/>
        <w:sz w:val="24"/>
        <w:szCs w:val="24"/>
      </w:rPr>
    </w:lvl>
    <w:lvl w:ilvl="2">
      <w:start w:val="1"/>
      <w:numFmt w:val="decimal"/>
      <w:lvlText w:val="%3)"/>
      <w:lvlJc w:val="left"/>
      <w:pPr>
        <w:tabs>
          <w:tab w:val="left" w:pos="3997"/>
        </w:tabs>
        <w:ind w:left="3997" w:hanging="1020"/>
      </w:pPr>
      <w:rPr>
        <w:rFonts w:hint="default"/>
        <w:b w:val="0"/>
        <w:lang w:val="en-US"/>
      </w:rPr>
    </w:lvl>
    <w:lvl w:ilvl="3">
      <w:start w:val="1"/>
      <w:numFmt w:val="upperLetter"/>
      <w:lvlText w:val="%4."/>
      <w:lvlJc w:val="left"/>
      <w:pPr>
        <w:tabs>
          <w:tab w:val="left" w:pos="2121"/>
        </w:tabs>
        <w:ind w:left="2121" w:hanging="420"/>
      </w:pPr>
      <w:rPr>
        <w:rFonts w:ascii="Times New Roman" w:hAnsi="Times New Roman" w:cs="Times New Roman" w:hint="eastAsia"/>
        <w:b/>
        <w:bCs w:val="0"/>
        <w:i w:val="0"/>
        <w:iCs w:val="0"/>
        <w:caps w:val="0"/>
        <w:smallCaps w:val="0"/>
        <w:strike w:val="0"/>
        <w:dstrike w:val="0"/>
        <w:snapToGrid w:val="0"/>
        <w:color w:val="000000"/>
        <w:spacing w:val="0"/>
        <w:w w:val="0"/>
        <w:kern w:val="0"/>
        <w:position w:val="0"/>
        <w:szCs w:val="16"/>
        <w:u w:val="none"/>
      </w:rPr>
    </w:lvl>
    <w:lvl w:ilvl="4">
      <w:start w:val="1"/>
      <w:numFmt w:val="decimal"/>
      <w:lvlText w:val="%3.%4.%5"/>
      <w:lvlJc w:val="left"/>
      <w:pPr>
        <w:tabs>
          <w:tab w:val="left" w:pos="3206"/>
        </w:tabs>
        <w:ind w:left="2976" w:hanging="850"/>
      </w:pPr>
      <w:rPr>
        <w:rFonts w:hint="eastAsia"/>
      </w:rPr>
    </w:lvl>
    <w:lvl w:ilvl="5">
      <w:start w:val="1"/>
      <w:numFmt w:val="decimal"/>
      <w:lvlText w:val="%3.%4.%5.%6"/>
      <w:lvlJc w:val="left"/>
      <w:pPr>
        <w:tabs>
          <w:tab w:val="left" w:pos="3991"/>
        </w:tabs>
        <w:ind w:left="3685" w:hanging="1134"/>
      </w:pPr>
      <w:rPr>
        <w:rFonts w:hint="eastAsia"/>
      </w:rPr>
    </w:lvl>
    <w:lvl w:ilvl="6">
      <w:start w:val="6"/>
      <w:numFmt w:val="decimal"/>
      <w:lvlText w:val="%1.%2.%3.%4.%5.%6.%7"/>
      <w:lvlJc w:val="left"/>
      <w:pPr>
        <w:tabs>
          <w:tab w:val="left" w:pos="4416"/>
        </w:tabs>
        <w:ind w:left="4252" w:hanging="1276"/>
      </w:pPr>
      <w:rPr>
        <w:rFonts w:hint="eastAsia"/>
      </w:rPr>
    </w:lvl>
    <w:lvl w:ilvl="7">
      <w:start w:val="1"/>
      <w:numFmt w:val="decimal"/>
      <w:lvlText w:val="%1.%2.%3.%4.%5.%6.%7.%8"/>
      <w:lvlJc w:val="left"/>
      <w:pPr>
        <w:tabs>
          <w:tab w:val="left" w:pos="5201"/>
        </w:tabs>
        <w:ind w:left="4819" w:hanging="1418"/>
      </w:pPr>
      <w:rPr>
        <w:rFonts w:hint="eastAsia"/>
      </w:rPr>
    </w:lvl>
    <w:lvl w:ilvl="8">
      <w:start w:val="1"/>
      <w:numFmt w:val="decimal"/>
      <w:lvlText w:val="%1.%2.%3.%4.%5.%6.%7.%8.%9"/>
      <w:lvlJc w:val="left"/>
      <w:pPr>
        <w:tabs>
          <w:tab w:val="left" w:pos="5987"/>
        </w:tabs>
        <w:ind w:left="5527" w:hanging="1700"/>
      </w:pPr>
      <w:rPr>
        <w:rFonts w:hint="eastAsia"/>
      </w:rPr>
    </w:lvl>
  </w:abstractNum>
  <w:abstractNum w:abstractNumId="1" w15:restartNumberingAfterBreak="0">
    <w:nsid w:val="590E278D"/>
    <w:multiLevelType w:val="hybridMultilevel"/>
    <w:tmpl w:val="BAEA2814"/>
    <w:lvl w:ilvl="0" w:tplc="C46C0316">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390924961">
    <w:abstractNumId w:val="0"/>
  </w:num>
  <w:num w:numId="2" w16cid:durableId="594217791">
    <w:abstractNumId w:val="0"/>
  </w:num>
  <w:num w:numId="3" w16cid:durableId="624697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defaultTabStop w:val="4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38"/>
    <w:rsid w:val="00026A60"/>
    <w:rsid w:val="000A3463"/>
    <w:rsid w:val="000D78CF"/>
    <w:rsid w:val="00133FF1"/>
    <w:rsid w:val="001B2920"/>
    <w:rsid w:val="002248CF"/>
    <w:rsid w:val="00245A0F"/>
    <w:rsid w:val="00306EB2"/>
    <w:rsid w:val="003249D9"/>
    <w:rsid w:val="003725E9"/>
    <w:rsid w:val="00376568"/>
    <w:rsid w:val="003956E8"/>
    <w:rsid w:val="003B34DA"/>
    <w:rsid w:val="003E25EA"/>
    <w:rsid w:val="00440C13"/>
    <w:rsid w:val="004906A1"/>
    <w:rsid w:val="004E1933"/>
    <w:rsid w:val="00510BA8"/>
    <w:rsid w:val="00514233"/>
    <w:rsid w:val="00562F49"/>
    <w:rsid w:val="00606285"/>
    <w:rsid w:val="006272C1"/>
    <w:rsid w:val="00782981"/>
    <w:rsid w:val="007B47D8"/>
    <w:rsid w:val="007F7C98"/>
    <w:rsid w:val="00843DC2"/>
    <w:rsid w:val="00894F38"/>
    <w:rsid w:val="00942B14"/>
    <w:rsid w:val="00A120F4"/>
    <w:rsid w:val="00AC6702"/>
    <w:rsid w:val="00AF5975"/>
    <w:rsid w:val="00B81011"/>
    <w:rsid w:val="00C163AB"/>
    <w:rsid w:val="00C745E2"/>
    <w:rsid w:val="00CB4ABA"/>
    <w:rsid w:val="00CF2A5F"/>
    <w:rsid w:val="00D46A17"/>
    <w:rsid w:val="00E24689"/>
    <w:rsid w:val="00E3032F"/>
    <w:rsid w:val="00E42219"/>
    <w:rsid w:val="00E65D30"/>
    <w:rsid w:val="00F42A69"/>
    <w:rsid w:val="00F628C3"/>
    <w:rsid w:val="00F97600"/>
    <w:rsid w:val="00FF5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D49E3"/>
  <w15:docId w15:val="{3FEDAFBE-FAC3-4548-902F-C24A5E14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2C1"/>
    <w:rPr>
      <w:rFonts w:eastAsia="宋体"/>
      <w:sz w:val="21"/>
      <w:szCs w:val="21"/>
    </w:rPr>
  </w:style>
  <w:style w:type="paragraph" w:styleId="1">
    <w:name w:val="heading 1"/>
    <w:basedOn w:val="a"/>
    <w:next w:val="a"/>
    <w:link w:val="10"/>
    <w:uiPriority w:val="9"/>
    <w:qFormat/>
    <w:rsid w:val="00C163AB"/>
    <w:pPr>
      <w:keepNext/>
      <w:keepLines/>
      <w:spacing w:before="400" w:after="40"/>
      <w:outlineLvl w:val="0"/>
    </w:pPr>
    <w:rPr>
      <w:rFonts w:ascii="Calibri Light" w:hAnsi="Calibri Light"/>
      <w:caps/>
      <w:sz w:val="36"/>
      <w:szCs w:val="36"/>
    </w:rPr>
  </w:style>
  <w:style w:type="paragraph" w:styleId="2">
    <w:name w:val="heading 2"/>
    <w:basedOn w:val="a"/>
    <w:next w:val="a"/>
    <w:link w:val="20"/>
    <w:unhideWhenUsed/>
    <w:qFormat/>
    <w:rsid w:val="00C163AB"/>
    <w:pPr>
      <w:keepNext/>
      <w:keepLines/>
      <w:spacing w:before="120"/>
      <w:outlineLvl w:val="1"/>
    </w:pPr>
    <w:rPr>
      <w:rFonts w:ascii="Calibri Light" w:hAnsi="Calibri Light" w:cs="Times New Roman"/>
      <w:caps/>
      <w:sz w:val="28"/>
      <w:szCs w:val="28"/>
    </w:rPr>
  </w:style>
  <w:style w:type="paragraph" w:styleId="3">
    <w:name w:val="heading 3"/>
    <w:basedOn w:val="a"/>
    <w:next w:val="a"/>
    <w:link w:val="30"/>
    <w:uiPriority w:val="9"/>
    <w:semiHidden/>
    <w:unhideWhenUsed/>
    <w:qFormat/>
    <w:rsid w:val="00C163AB"/>
    <w:pPr>
      <w:keepNext/>
      <w:keepLines/>
      <w:spacing w:before="120"/>
      <w:outlineLvl w:val="2"/>
    </w:pPr>
    <w:rPr>
      <w:rFonts w:ascii="Calibri Light" w:hAnsi="Calibri Light" w:cs="Times New Roman"/>
      <w:smallCaps/>
      <w:sz w:val="28"/>
      <w:szCs w:val="28"/>
    </w:rPr>
  </w:style>
  <w:style w:type="paragraph" w:styleId="4">
    <w:name w:val="heading 4"/>
    <w:basedOn w:val="a"/>
    <w:next w:val="a"/>
    <w:link w:val="40"/>
    <w:uiPriority w:val="9"/>
    <w:semiHidden/>
    <w:unhideWhenUsed/>
    <w:qFormat/>
    <w:rsid w:val="00C163AB"/>
    <w:pPr>
      <w:keepNext/>
      <w:keepLines/>
      <w:spacing w:before="120"/>
      <w:outlineLvl w:val="3"/>
    </w:pPr>
    <w:rPr>
      <w:rFonts w:ascii="Calibri Light" w:hAnsi="Calibri Light" w:cs="Times New Roman"/>
      <w:caps/>
    </w:rPr>
  </w:style>
  <w:style w:type="paragraph" w:styleId="5">
    <w:name w:val="heading 5"/>
    <w:basedOn w:val="a"/>
    <w:next w:val="a"/>
    <w:link w:val="50"/>
    <w:uiPriority w:val="9"/>
    <w:semiHidden/>
    <w:unhideWhenUsed/>
    <w:qFormat/>
    <w:rsid w:val="00C163AB"/>
    <w:pPr>
      <w:keepNext/>
      <w:keepLines/>
      <w:spacing w:before="120"/>
      <w:outlineLvl w:val="4"/>
    </w:pPr>
    <w:rPr>
      <w:rFonts w:ascii="Calibri Light" w:hAnsi="Calibri Light" w:cs="Times New Roman"/>
      <w:i/>
      <w:iCs/>
      <w:caps/>
    </w:rPr>
  </w:style>
  <w:style w:type="paragraph" w:styleId="6">
    <w:name w:val="heading 6"/>
    <w:basedOn w:val="a"/>
    <w:next w:val="a"/>
    <w:link w:val="60"/>
    <w:uiPriority w:val="9"/>
    <w:semiHidden/>
    <w:unhideWhenUsed/>
    <w:qFormat/>
    <w:rsid w:val="00C163AB"/>
    <w:pPr>
      <w:keepNext/>
      <w:keepLines/>
      <w:spacing w:before="120"/>
      <w:outlineLvl w:val="5"/>
    </w:pPr>
    <w:rPr>
      <w:rFonts w:ascii="Calibri Light" w:hAnsi="Calibri Light" w:cs="Times New Roman"/>
      <w:b/>
      <w:bCs/>
      <w:caps/>
      <w:color w:val="262626"/>
      <w:sz w:val="20"/>
      <w:szCs w:val="20"/>
    </w:rPr>
  </w:style>
  <w:style w:type="paragraph" w:styleId="7">
    <w:name w:val="heading 7"/>
    <w:basedOn w:val="a"/>
    <w:next w:val="a"/>
    <w:link w:val="70"/>
    <w:uiPriority w:val="9"/>
    <w:semiHidden/>
    <w:unhideWhenUsed/>
    <w:qFormat/>
    <w:rsid w:val="00C163AB"/>
    <w:pPr>
      <w:keepNext/>
      <w:keepLines/>
      <w:spacing w:before="120"/>
      <w:outlineLvl w:val="6"/>
    </w:pPr>
    <w:rPr>
      <w:rFonts w:ascii="Calibri Light" w:hAnsi="Calibri Light" w:cs="Times New Roman"/>
      <w:b/>
      <w:bCs/>
      <w:i/>
      <w:iCs/>
      <w:caps/>
      <w:color w:val="262626"/>
      <w:sz w:val="20"/>
      <w:szCs w:val="20"/>
    </w:rPr>
  </w:style>
  <w:style w:type="paragraph" w:styleId="8">
    <w:name w:val="heading 8"/>
    <w:basedOn w:val="a"/>
    <w:next w:val="a"/>
    <w:link w:val="80"/>
    <w:uiPriority w:val="9"/>
    <w:semiHidden/>
    <w:unhideWhenUsed/>
    <w:qFormat/>
    <w:rsid w:val="00C163AB"/>
    <w:pPr>
      <w:keepNext/>
      <w:keepLines/>
      <w:spacing w:before="120"/>
      <w:outlineLvl w:val="7"/>
    </w:pPr>
    <w:rPr>
      <w:rFonts w:ascii="Calibri Light" w:hAnsi="Calibri Light" w:cs="Times New Roman"/>
      <w:b/>
      <w:bCs/>
      <w:caps/>
      <w:color w:val="7F7F7F"/>
      <w:sz w:val="20"/>
      <w:szCs w:val="20"/>
    </w:rPr>
  </w:style>
  <w:style w:type="paragraph" w:styleId="9">
    <w:name w:val="heading 9"/>
    <w:basedOn w:val="a"/>
    <w:next w:val="a"/>
    <w:link w:val="90"/>
    <w:uiPriority w:val="9"/>
    <w:semiHidden/>
    <w:unhideWhenUsed/>
    <w:qFormat/>
    <w:rsid w:val="00C163AB"/>
    <w:pPr>
      <w:keepNext/>
      <w:keepLines/>
      <w:spacing w:before="120"/>
      <w:outlineLvl w:val="8"/>
    </w:pPr>
    <w:rPr>
      <w:rFonts w:ascii="Calibri Light" w:hAnsi="Calibri Light" w:cs="Times New Roman"/>
      <w:b/>
      <w:bCs/>
      <w:i/>
      <w:iCs/>
      <w:caps/>
      <w:color w:val="7F7F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样式1"/>
    <w:basedOn w:val="a"/>
    <w:rsid w:val="00C163AB"/>
    <w:pPr>
      <w:adjustRightInd w:val="0"/>
    </w:pPr>
    <w:rPr>
      <w:spacing w:val="-10"/>
      <w:sz w:val="24"/>
    </w:rPr>
  </w:style>
  <w:style w:type="character" w:customStyle="1" w:styleId="10">
    <w:name w:val="标题 1 字符"/>
    <w:link w:val="1"/>
    <w:uiPriority w:val="9"/>
    <w:rsid w:val="00C163AB"/>
    <w:rPr>
      <w:rFonts w:ascii="Calibri Light" w:eastAsia="宋体" w:hAnsi="Calibri Light"/>
      <w:caps/>
      <w:sz w:val="36"/>
      <w:szCs w:val="36"/>
    </w:rPr>
  </w:style>
  <w:style w:type="character" w:customStyle="1" w:styleId="1Char">
    <w:name w:val="标题 1 Char"/>
    <w:uiPriority w:val="9"/>
    <w:rsid w:val="00C163AB"/>
    <w:rPr>
      <w:color w:val="000000"/>
      <w:sz w:val="24"/>
      <w:szCs w:val="24"/>
      <w:lang w:eastAsia="en-US" w:bidi="en-US"/>
    </w:rPr>
  </w:style>
  <w:style w:type="paragraph" w:styleId="a3">
    <w:name w:val="Subtitle"/>
    <w:basedOn w:val="a"/>
    <w:next w:val="a"/>
    <w:link w:val="a4"/>
    <w:uiPriority w:val="11"/>
    <w:qFormat/>
    <w:rsid w:val="00C163AB"/>
    <w:pPr>
      <w:numPr>
        <w:ilvl w:val="1"/>
      </w:numPr>
      <w:ind w:firstLineChars="200" w:firstLine="200"/>
    </w:pPr>
    <w:rPr>
      <w:rFonts w:ascii="Calibri Light" w:hAnsi="Calibri Light"/>
      <w:smallCaps/>
      <w:color w:val="595959"/>
      <w:sz w:val="28"/>
      <w:szCs w:val="28"/>
    </w:rPr>
  </w:style>
  <w:style w:type="character" w:customStyle="1" w:styleId="a4">
    <w:name w:val="副标题 字符"/>
    <w:link w:val="a3"/>
    <w:uiPriority w:val="11"/>
    <w:rsid w:val="00C163AB"/>
    <w:rPr>
      <w:rFonts w:ascii="Calibri Light" w:eastAsia="宋体" w:hAnsi="Calibri Light"/>
      <w:smallCaps/>
      <w:color w:val="595959"/>
      <w:sz w:val="28"/>
      <w:szCs w:val="28"/>
    </w:rPr>
  </w:style>
  <w:style w:type="character" w:customStyle="1" w:styleId="Char">
    <w:name w:val="副标题 Char"/>
    <w:rsid w:val="00C163AB"/>
    <w:rPr>
      <w:rFonts w:ascii="Cambria" w:hAnsi="Cambria"/>
      <w:b/>
      <w:bCs/>
      <w:outline/>
      <w:color w:val="000000"/>
      <w:spacing w:val="-10"/>
      <w:w w:val="98"/>
      <w:kern w:val="28"/>
      <w:sz w:val="32"/>
      <w:szCs w:val="32"/>
      <w14:textOutline w14:w="9525" w14:cap="flat" w14:cmpd="sng" w14:algn="ctr">
        <w14:solidFill>
          <w14:srgbClr w14:val="000000"/>
        </w14:solidFill>
        <w14:prstDash w14:val="solid"/>
        <w14:round/>
      </w14:textOutline>
      <w14:textFill>
        <w14:noFill/>
      </w14:textFill>
    </w:rPr>
  </w:style>
  <w:style w:type="paragraph" w:customStyle="1" w:styleId="12">
    <w:name w:val="1"/>
    <w:basedOn w:val="a"/>
    <w:next w:val="a5"/>
    <w:uiPriority w:val="34"/>
    <w:qFormat/>
    <w:rsid w:val="00C163AB"/>
    <w:pPr>
      <w:ind w:firstLine="420"/>
    </w:pPr>
  </w:style>
  <w:style w:type="paragraph" w:styleId="a5">
    <w:name w:val="List Paragraph"/>
    <w:basedOn w:val="a"/>
    <w:uiPriority w:val="34"/>
    <w:rsid w:val="00F628C3"/>
    <w:pPr>
      <w:ind w:firstLine="420"/>
    </w:pPr>
  </w:style>
  <w:style w:type="character" w:styleId="a6">
    <w:name w:val="Subtle Emphasis"/>
    <w:uiPriority w:val="19"/>
    <w:qFormat/>
    <w:rsid w:val="00C163AB"/>
    <w:rPr>
      <w:i/>
      <w:iCs/>
      <w:color w:val="595959"/>
    </w:rPr>
  </w:style>
  <w:style w:type="character" w:customStyle="1" w:styleId="20">
    <w:name w:val="标题 2 字符"/>
    <w:link w:val="2"/>
    <w:qFormat/>
    <w:rsid w:val="00C163AB"/>
    <w:rPr>
      <w:rFonts w:ascii="Calibri Light" w:eastAsia="宋体" w:hAnsi="Calibri Light" w:cs="Times New Roman"/>
      <w:caps/>
      <w:sz w:val="28"/>
      <w:szCs w:val="28"/>
    </w:rPr>
  </w:style>
  <w:style w:type="character" w:customStyle="1" w:styleId="30">
    <w:name w:val="标题 3 字符"/>
    <w:link w:val="3"/>
    <w:uiPriority w:val="9"/>
    <w:semiHidden/>
    <w:rsid w:val="00C163AB"/>
    <w:rPr>
      <w:rFonts w:ascii="Calibri Light" w:eastAsia="宋体" w:hAnsi="Calibri Light" w:cs="Times New Roman"/>
      <w:smallCaps/>
      <w:sz w:val="28"/>
      <w:szCs w:val="28"/>
    </w:rPr>
  </w:style>
  <w:style w:type="character" w:customStyle="1" w:styleId="40">
    <w:name w:val="标题 4 字符"/>
    <w:link w:val="4"/>
    <w:uiPriority w:val="9"/>
    <w:semiHidden/>
    <w:rsid w:val="00C163AB"/>
    <w:rPr>
      <w:rFonts w:ascii="Calibri Light" w:eastAsia="宋体" w:hAnsi="Calibri Light" w:cs="Times New Roman"/>
      <w:caps/>
    </w:rPr>
  </w:style>
  <w:style w:type="character" w:customStyle="1" w:styleId="50">
    <w:name w:val="标题 5 字符"/>
    <w:link w:val="5"/>
    <w:uiPriority w:val="9"/>
    <w:semiHidden/>
    <w:rsid w:val="00C163AB"/>
    <w:rPr>
      <w:rFonts w:ascii="Calibri Light" w:eastAsia="宋体" w:hAnsi="Calibri Light" w:cs="Times New Roman"/>
      <w:i/>
      <w:iCs/>
      <w:caps/>
    </w:rPr>
  </w:style>
  <w:style w:type="character" w:customStyle="1" w:styleId="60">
    <w:name w:val="标题 6 字符"/>
    <w:link w:val="6"/>
    <w:uiPriority w:val="9"/>
    <w:semiHidden/>
    <w:rsid w:val="00C163AB"/>
    <w:rPr>
      <w:rFonts w:ascii="Calibri Light" w:eastAsia="宋体" w:hAnsi="Calibri Light" w:cs="Times New Roman"/>
      <w:b/>
      <w:bCs/>
      <w:caps/>
      <w:color w:val="262626"/>
      <w:sz w:val="20"/>
      <w:szCs w:val="20"/>
    </w:rPr>
  </w:style>
  <w:style w:type="character" w:customStyle="1" w:styleId="70">
    <w:name w:val="标题 7 字符"/>
    <w:link w:val="7"/>
    <w:uiPriority w:val="9"/>
    <w:semiHidden/>
    <w:rsid w:val="00C163AB"/>
    <w:rPr>
      <w:rFonts w:ascii="Calibri Light" w:eastAsia="宋体" w:hAnsi="Calibri Light" w:cs="Times New Roman"/>
      <w:b/>
      <w:bCs/>
      <w:i/>
      <w:iCs/>
      <w:caps/>
      <w:color w:val="262626"/>
      <w:sz w:val="20"/>
      <w:szCs w:val="20"/>
    </w:rPr>
  </w:style>
  <w:style w:type="character" w:customStyle="1" w:styleId="80">
    <w:name w:val="标题 8 字符"/>
    <w:link w:val="8"/>
    <w:uiPriority w:val="9"/>
    <w:semiHidden/>
    <w:rsid w:val="00C163AB"/>
    <w:rPr>
      <w:rFonts w:ascii="Calibri Light" w:eastAsia="宋体" w:hAnsi="Calibri Light" w:cs="Times New Roman"/>
      <w:b/>
      <w:bCs/>
      <w:caps/>
      <w:color w:val="7F7F7F"/>
      <w:sz w:val="20"/>
      <w:szCs w:val="20"/>
    </w:rPr>
  </w:style>
  <w:style w:type="character" w:customStyle="1" w:styleId="90">
    <w:name w:val="标题 9 字符"/>
    <w:link w:val="9"/>
    <w:uiPriority w:val="9"/>
    <w:semiHidden/>
    <w:rsid w:val="00C163AB"/>
    <w:rPr>
      <w:rFonts w:ascii="Calibri Light" w:eastAsia="宋体" w:hAnsi="Calibri Light" w:cs="Times New Roman"/>
      <w:b/>
      <w:bCs/>
      <w:i/>
      <w:iCs/>
      <w:caps/>
      <w:color w:val="7F7F7F"/>
      <w:sz w:val="20"/>
      <w:szCs w:val="20"/>
    </w:rPr>
  </w:style>
  <w:style w:type="paragraph" w:styleId="a7">
    <w:name w:val="caption"/>
    <w:basedOn w:val="a"/>
    <w:next w:val="a"/>
    <w:uiPriority w:val="35"/>
    <w:semiHidden/>
    <w:unhideWhenUsed/>
    <w:qFormat/>
    <w:rsid w:val="00C163AB"/>
    <w:rPr>
      <w:b/>
      <w:bCs/>
      <w:smallCaps/>
      <w:color w:val="595959"/>
    </w:rPr>
  </w:style>
  <w:style w:type="paragraph" w:styleId="a8">
    <w:name w:val="Title"/>
    <w:basedOn w:val="a"/>
    <w:next w:val="a"/>
    <w:link w:val="a9"/>
    <w:uiPriority w:val="10"/>
    <w:qFormat/>
    <w:rsid w:val="00C163AB"/>
    <w:pPr>
      <w:contextualSpacing/>
    </w:pPr>
    <w:rPr>
      <w:rFonts w:ascii="Calibri Light" w:hAnsi="Calibri Light" w:cs="Times New Roman"/>
      <w:caps/>
      <w:color w:val="404040"/>
      <w:spacing w:val="-10"/>
      <w:sz w:val="72"/>
      <w:szCs w:val="72"/>
    </w:rPr>
  </w:style>
  <w:style w:type="character" w:customStyle="1" w:styleId="a9">
    <w:name w:val="标题 字符"/>
    <w:link w:val="a8"/>
    <w:uiPriority w:val="10"/>
    <w:rsid w:val="00C163AB"/>
    <w:rPr>
      <w:rFonts w:ascii="Calibri Light" w:eastAsia="宋体" w:hAnsi="Calibri Light" w:cs="Times New Roman"/>
      <w:caps/>
      <w:color w:val="404040"/>
      <w:spacing w:val="-10"/>
      <w:sz w:val="72"/>
      <w:szCs w:val="72"/>
    </w:rPr>
  </w:style>
  <w:style w:type="character" w:styleId="aa">
    <w:name w:val="Strong"/>
    <w:uiPriority w:val="22"/>
    <w:qFormat/>
    <w:rsid w:val="00C163AB"/>
    <w:rPr>
      <w:b/>
      <w:bCs/>
    </w:rPr>
  </w:style>
  <w:style w:type="character" w:styleId="ab">
    <w:name w:val="Emphasis"/>
    <w:uiPriority w:val="20"/>
    <w:qFormat/>
    <w:rsid w:val="00C163AB"/>
    <w:rPr>
      <w:i/>
      <w:iCs/>
    </w:rPr>
  </w:style>
  <w:style w:type="paragraph" w:styleId="ac">
    <w:name w:val="No Spacing"/>
    <w:uiPriority w:val="1"/>
    <w:qFormat/>
    <w:rsid w:val="00C163AB"/>
  </w:style>
  <w:style w:type="paragraph" w:styleId="ad">
    <w:name w:val="Quote"/>
    <w:basedOn w:val="a"/>
    <w:next w:val="a"/>
    <w:link w:val="ae"/>
    <w:uiPriority w:val="29"/>
    <w:qFormat/>
    <w:rsid w:val="00C163AB"/>
    <w:pPr>
      <w:spacing w:before="160"/>
      <w:ind w:left="720" w:right="720"/>
    </w:pPr>
    <w:rPr>
      <w:rFonts w:ascii="Calibri Light" w:hAnsi="Calibri Light" w:cs="Times New Roman"/>
      <w:sz w:val="25"/>
      <w:szCs w:val="25"/>
    </w:rPr>
  </w:style>
  <w:style w:type="character" w:customStyle="1" w:styleId="ae">
    <w:name w:val="引用 字符"/>
    <w:link w:val="ad"/>
    <w:uiPriority w:val="29"/>
    <w:rsid w:val="00C163AB"/>
    <w:rPr>
      <w:rFonts w:ascii="Calibri Light" w:eastAsia="宋体" w:hAnsi="Calibri Light" w:cs="Times New Roman"/>
      <w:sz w:val="25"/>
      <w:szCs w:val="25"/>
    </w:rPr>
  </w:style>
  <w:style w:type="paragraph" w:styleId="af">
    <w:name w:val="Intense Quote"/>
    <w:basedOn w:val="a"/>
    <w:next w:val="a"/>
    <w:link w:val="af0"/>
    <w:uiPriority w:val="30"/>
    <w:qFormat/>
    <w:rsid w:val="00C163AB"/>
    <w:pPr>
      <w:spacing w:before="280" w:after="280"/>
      <w:ind w:left="1080" w:right="1080"/>
      <w:jc w:val="center"/>
    </w:pPr>
    <w:rPr>
      <w:color w:val="404040"/>
      <w:sz w:val="32"/>
      <w:szCs w:val="32"/>
    </w:rPr>
  </w:style>
  <w:style w:type="character" w:customStyle="1" w:styleId="af0">
    <w:name w:val="明显引用 字符"/>
    <w:link w:val="af"/>
    <w:uiPriority w:val="30"/>
    <w:rsid w:val="00C163AB"/>
    <w:rPr>
      <w:color w:val="404040"/>
      <w:sz w:val="32"/>
      <w:szCs w:val="32"/>
    </w:rPr>
  </w:style>
  <w:style w:type="character" w:styleId="af1">
    <w:name w:val="Intense Emphasis"/>
    <w:uiPriority w:val="21"/>
    <w:qFormat/>
    <w:rsid w:val="00C163AB"/>
    <w:rPr>
      <w:b/>
      <w:bCs/>
      <w:i/>
      <w:iCs/>
    </w:rPr>
  </w:style>
  <w:style w:type="character" w:styleId="af2">
    <w:name w:val="Subtle Reference"/>
    <w:uiPriority w:val="31"/>
    <w:qFormat/>
    <w:rsid w:val="00C163AB"/>
    <w:rPr>
      <w:smallCaps/>
      <w:color w:val="404040"/>
      <w:u w:val="single" w:color="7F7F7F"/>
    </w:rPr>
  </w:style>
  <w:style w:type="character" w:styleId="af3">
    <w:name w:val="Intense Reference"/>
    <w:uiPriority w:val="32"/>
    <w:qFormat/>
    <w:rsid w:val="00C163AB"/>
    <w:rPr>
      <w:b/>
      <w:bCs/>
      <w:caps w:val="0"/>
      <w:smallCaps/>
      <w:color w:val="auto"/>
      <w:spacing w:val="3"/>
      <w:u w:val="single"/>
    </w:rPr>
  </w:style>
  <w:style w:type="character" w:styleId="af4">
    <w:name w:val="Book Title"/>
    <w:uiPriority w:val="33"/>
    <w:qFormat/>
    <w:rsid w:val="00C163AB"/>
    <w:rPr>
      <w:b/>
      <w:bCs/>
      <w:smallCaps/>
      <w:spacing w:val="7"/>
    </w:rPr>
  </w:style>
  <w:style w:type="paragraph" w:styleId="TOC">
    <w:name w:val="TOC Heading"/>
    <w:basedOn w:val="1"/>
    <w:next w:val="a"/>
    <w:uiPriority w:val="39"/>
    <w:semiHidden/>
    <w:unhideWhenUsed/>
    <w:qFormat/>
    <w:rsid w:val="00C163AB"/>
    <w:pPr>
      <w:outlineLvl w:val="9"/>
    </w:pPr>
    <w:rPr>
      <w:rFonts w:cs="Times New Roman"/>
    </w:rPr>
  </w:style>
  <w:style w:type="paragraph" w:styleId="af5">
    <w:name w:val="Normal (Web)"/>
    <w:basedOn w:val="a"/>
    <w:qFormat/>
    <w:rsid w:val="003E25EA"/>
    <w:pPr>
      <w:widowControl w:val="0"/>
      <w:spacing w:beforeAutospacing="1" w:afterAutospacing="1" w:line="240" w:lineRule="auto"/>
    </w:pPr>
    <w:rPr>
      <w:rFonts w:eastAsiaTheme="minorEastAsia" w:cs="Times New Roman"/>
      <w:kern w:val="0"/>
      <w:sz w:val="24"/>
      <w:szCs w:val="24"/>
    </w:rPr>
  </w:style>
  <w:style w:type="paragraph" w:styleId="af6">
    <w:name w:val="header"/>
    <w:basedOn w:val="a"/>
    <w:link w:val="af7"/>
    <w:uiPriority w:val="99"/>
    <w:unhideWhenUsed/>
    <w:rsid w:val="003725E9"/>
    <w:pPr>
      <w:tabs>
        <w:tab w:val="center" w:pos="4153"/>
        <w:tab w:val="right" w:pos="8306"/>
      </w:tabs>
      <w:snapToGrid w:val="0"/>
      <w:spacing w:line="240" w:lineRule="auto"/>
      <w:jc w:val="center"/>
    </w:pPr>
    <w:rPr>
      <w:sz w:val="18"/>
      <w:szCs w:val="18"/>
    </w:rPr>
  </w:style>
  <w:style w:type="character" w:customStyle="1" w:styleId="af7">
    <w:name w:val="页眉 字符"/>
    <w:basedOn w:val="a0"/>
    <w:link w:val="af6"/>
    <w:uiPriority w:val="99"/>
    <w:rsid w:val="003725E9"/>
    <w:rPr>
      <w:rFonts w:eastAsia="宋体"/>
      <w:sz w:val="18"/>
      <w:szCs w:val="18"/>
    </w:rPr>
  </w:style>
  <w:style w:type="paragraph" w:styleId="af8">
    <w:name w:val="footer"/>
    <w:basedOn w:val="a"/>
    <w:link w:val="af9"/>
    <w:uiPriority w:val="99"/>
    <w:unhideWhenUsed/>
    <w:rsid w:val="003725E9"/>
    <w:pPr>
      <w:tabs>
        <w:tab w:val="center" w:pos="4153"/>
        <w:tab w:val="right" w:pos="8306"/>
      </w:tabs>
      <w:snapToGrid w:val="0"/>
      <w:spacing w:line="240" w:lineRule="auto"/>
    </w:pPr>
    <w:rPr>
      <w:sz w:val="18"/>
      <w:szCs w:val="18"/>
    </w:rPr>
  </w:style>
  <w:style w:type="character" w:customStyle="1" w:styleId="af9">
    <w:name w:val="页脚 字符"/>
    <w:basedOn w:val="a0"/>
    <w:link w:val="af8"/>
    <w:uiPriority w:val="99"/>
    <w:rsid w:val="003725E9"/>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li</dc:creator>
  <cp:keywords/>
  <dc:description/>
  <cp:lastModifiedBy>sibo ma</cp:lastModifiedBy>
  <cp:revision>4</cp:revision>
  <dcterms:created xsi:type="dcterms:W3CDTF">2024-05-17T02:54:00Z</dcterms:created>
  <dcterms:modified xsi:type="dcterms:W3CDTF">2024-05-17T03:16:00Z</dcterms:modified>
</cp:coreProperties>
</file>