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Style w:val="9"/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昌平区“科技副总”柔性引才工作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实施意见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2.0版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为深入贯彻落实党的二十大精神，充分发挥教育、科技、人才的基础性和战略性支撑作用，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深化校城融合，促进高校、科研机构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、医疗卫生机构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与企业深度合作，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推动政产学研用协同创新，为昌平区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四区”建设、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未来科学城科创中心主平台建设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新发展提供强有力人才支撑和智力支持，服务北京率先建成高水平人才高地，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我委牵头起草了《昌平区“科技副总”柔性引才工作实施意见（征求意见稿）》2.0版（以下简称《实施意见》）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both"/>
        <w:textAlignment w:val="auto"/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一、起草背景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发展离不开技术和人才的支撑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，需要与高校院所</w:t>
      </w:r>
      <w:r>
        <w:rPr>
          <w:rFonts w:hint="eastAsia" w:ascii="仿宋_GB2312" w:hAnsi="仿宋_GB2312" w:eastAsia="仿宋_GB2312" w:cs="仿宋_GB2312"/>
          <w:sz w:val="32"/>
          <w:szCs w:val="32"/>
        </w:rPr>
        <w:t>合力打磨新技术，解决关键技术难题，助力企业高质量发展。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高校院所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需要真实的市场需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来精准聚焦研发方向，实现从科学研究到试验开发再到推广应用的“三级跳”。随着昌平区加快“四区”建设，全区高新技术企业、专精特新企业数量不断增加，与高校院所的合作也越来越多。但同时也存在成果转化效率</w:t>
      </w:r>
      <w:r>
        <w:rPr>
          <w:rFonts w:hint="eastAsia" w:ascii="仿宋_GB2312" w:hAnsi="仿宋_GB2312" w:eastAsia="仿宋_GB2312" w:cs="仿宋_GB2312"/>
          <w:sz w:val="32"/>
          <w:szCs w:val="32"/>
        </w:rPr>
        <w:t>低、合作形式单一、体制机制不完善等问题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亟需精准链接高校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院所和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企业，深入推进产学研用合作。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科技副总”进企业，可以充分发挥自身特长和所在单位的专业优势，在整合创新资源、拓宽产学研合作渠道、引进和培养技术创新人才、强化企业研发机构建设、完善企业技术研发体系等方面全面发挥作用，让更多科研成果从实验室走进车间、走向市场，转化为现实生产力，推动创新链、产业链、资金链、人才链的深度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二、起草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(一)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学习先进地区经验。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</w:rPr>
        <w:t>认真研究分析江苏、湖北、山东等地区关于“科技副总”工作的支持政策文件，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lang w:val="en-US" w:eastAsia="zh-CN"/>
        </w:rPr>
        <w:t>深入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</w:rPr>
        <w:t>学习，借鉴先进经验做法。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(二)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深入开展调研。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高校、科研机构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、医疗卫生机构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与企业深度合作，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科技人才对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区科技创新、成果转化的支撑作用，组织召开了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场“科技副总”专题研讨会，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邀请了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清华、北大、北航、华电、中石油等高校，清华工研院、中国计量院、中国疾控中心等科研院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诺诚健华、天新福、乐普医疗、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爱康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医疗等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家重点企业进行座谈交流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根据高校、科研机构及重点企业的建议，结合昌平区高精尖产业发展的基础与潜力优势，编制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了《昌平区“科技副总”柔性引才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(征求意见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2.0版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/>
        </w:rPr>
        <w:t>(三)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广泛征求意见建议。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多次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征求区委组织部、区人力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社保局、区财政局等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单位意见，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并根据反馈意见修改完善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《实施意见》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包括“科技副总”工作目标任务、选派条件、服务要求、选派程序、支持措施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组织机制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(一)目标任务。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通过“科技副总”工作，更好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人才在推动高校、科研机构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、医疗卫生机构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企业间产学研协同创新的纽带作用，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联合技术攻关、核心产品研发、科技项目申报和管理创新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选派条件。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一般应具有博士学位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或副高级及以上职称；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具有2年及以上工作经历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具有较高的专业技术水平、研发创新能力、技术指导能力和综合协调能力，熟悉有关政策法规和行业发展情况，能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够发挥自身专业特长和派出单位优势条件，帮助企业解决实际问题。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(三)服务要求。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“科技副总”担任岗位一般为科技型企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业科技副总、技术（研发）中心副主任等，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32"/>
          <w:szCs w:val="32"/>
          <w:highlight w:val="none"/>
        </w:rPr>
        <w:t>服务期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spacing w:val="-6"/>
          <w:kern w:val="0"/>
          <w:sz w:val="32"/>
          <w:szCs w:val="32"/>
          <w:highlight w:val="none"/>
        </w:rPr>
        <w:t>２年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(四)选派程序。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包括征集拟聘专家人选，组织供需对接、聘用上岗及考核评价等。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(五)支持措施。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服务期内给予每名“科技副总”承担的合作项目50%的资金补贴支持，补贴金额不超过30万元（对于社会人文科学领域项目补贴金额不超过10万元）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补贴给合作企业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“科技副总”享受人才生活补贴，每月2000元，合作企业给予“科技副总”每月2000元配套生活补助。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Style w:val="11"/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Style w:val="11"/>
          <w:rFonts w:hint="eastAsia"/>
          <w:highlight w:val="none"/>
          <w:lang w:val="en-US" w:eastAsia="zh-CN"/>
        </w:rPr>
        <w:t>每年度对结题的“科技副总”课题进行评选，对成果突出的课题进行奖励。设置一等奖、二等奖、三等奖，分别给予20万元、10万元、5万元奖励，奖励资金由“科技副总”专家个人使用。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(六)组织机制。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建立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了工作保障机制和服务对接机制。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YWYwMmI5NTA2NDA2OGNlMTM5ZmQwN2Y2MGM3YWYifQ=="/>
  </w:docVars>
  <w:rsids>
    <w:rsidRoot w:val="00000000"/>
    <w:rsid w:val="00E655B5"/>
    <w:rsid w:val="014124A3"/>
    <w:rsid w:val="053E2C54"/>
    <w:rsid w:val="0BB17E5B"/>
    <w:rsid w:val="0BEC36DA"/>
    <w:rsid w:val="11C56BB4"/>
    <w:rsid w:val="124A2D60"/>
    <w:rsid w:val="1317219D"/>
    <w:rsid w:val="142851FC"/>
    <w:rsid w:val="1C9A47BD"/>
    <w:rsid w:val="201A55B3"/>
    <w:rsid w:val="24F5119D"/>
    <w:rsid w:val="27427F2B"/>
    <w:rsid w:val="282633A8"/>
    <w:rsid w:val="2C183D25"/>
    <w:rsid w:val="2F6173BC"/>
    <w:rsid w:val="2F805A94"/>
    <w:rsid w:val="33F50226"/>
    <w:rsid w:val="35984814"/>
    <w:rsid w:val="36105698"/>
    <w:rsid w:val="38814149"/>
    <w:rsid w:val="3E705EE3"/>
    <w:rsid w:val="43611752"/>
    <w:rsid w:val="47F15E80"/>
    <w:rsid w:val="49C34AA3"/>
    <w:rsid w:val="50FA6609"/>
    <w:rsid w:val="52686AEE"/>
    <w:rsid w:val="54B27457"/>
    <w:rsid w:val="54C6369A"/>
    <w:rsid w:val="55013BC2"/>
    <w:rsid w:val="5A4422A5"/>
    <w:rsid w:val="5EBA0D88"/>
    <w:rsid w:val="61023CAB"/>
    <w:rsid w:val="6BAF67DE"/>
    <w:rsid w:val="7147173B"/>
    <w:rsid w:val="73002B5B"/>
    <w:rsid w:val="74051691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cs="宋体"/>
      <w:szCs w:val="21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仿宋_GB2312" w:eastAsia="仿宋_GB2312" w:cs="仿宋_GB2312"/>
      <w:sz w:val="32"/>
      <w:szCs w:val="32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样式1 Char"/>
    <w:link w:val="12"/>
    <w:qFormat/>
    <w:uiPriority w:val="0"/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2">
    <w:name w:val="样式1"/>
    <w:basedOn w:val="1"/>
    <w:link w:val="11"/>
    <w:qFormat/>
    <w:uiPriority w:val="0"/>
    <w:pPr>
      <w:widowControl/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1555</Words>
  <Characters>1576</Characters>
  <Lines>0</Lines>
  <Paragraphs>0</Paragraphs>
  <TotalTime>51</TotalTime>
  <ScaleCrop>false</ScaleCrop>
  <LinksUpToDate>false</LinksUpToDate>
  <CharactersWithSpaces>1577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2024-08-06T07:16:00Z</dcterms:created>
  <dc:creator>ncepu11</dc:creator>
  <cp:lastModifiedBy>小野猫JANE</cp:lastModifiedBy>
  <dcterms:modified xsi:type="dcterms:W3CDTF">2024-08-08T01:02:46Z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9ED3208894894EBD808B88E7B37F8E2F_13</vt:lpwstr>
  </property>
</Properties>
</file>