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4F3BD">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北京市专精特新企业服务站建设管理办法</w:t>
      </w:r>
    </w:p>
    <w:p w14:paraId="74468933">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outlineLvl w:val="0"/>
        <w:rPr>
          <w:rFonts w:hint="eastAsia" w:ascii="黑体" w:hAnsi="黑体" w:eastAsia="黑体" w:cs="黑体"/>
          <w:lang w:val="en-US" w:eastAsia="zh-CN"/>
        </w:rPr>
      </w:pPr>
      <w:r>
        <w:rPr>
          <w:rFonts w:hint="eastAsia" w:ascii="黑体" w:hAnsi="黑体" w:eastAsia="黑体" w:cs="黑体"/>
          <w:lang w:val="en-US" w:eastAsia="zh-CN"/>
        </w:rPr>
        <w:t>第一章  总则</w:t>
      </w:r>
    </w:p>
    <w:p w14:paraId="59DBFB90">
      <w:pPr>
        <w:keepNext w:val="0"/>
        <w:keepLines w:val="0"/>
        <w:pageBreakBefore w:val="0"/>
        <w:kinsoku/>
        <w:wordWrap/>
        <w:overflowPunct/>
        <w:topLinePunct w:val="0"/>
        <w:autoSpaceDE/>
        <w:autoSpaceDN/>
        <w:bidi w:val="0"/>
        <w:adjustRightInd/>
        <w:spacing w:line="560" w:lineRule="exact"/>
        <w:outlineLvl w:val="1"/>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第一条  为贯彻</w:t>
      </w:r>
      <w:bookmarkStart w:id="0" w:name="_GoBack"/>
      <w:bookmarkEnd w:id="0"/>
      <w:r>
        <w:rPr>
          <w:rFonts w:hint="eastAsia" w:ascii="仿宋_GB2312" w:hAnsi="仿宋_GB2312" w:eastAsia="仿宋_GB2312" w:cs="仿宋_GB2312"/>
          <w:lang w:val="en-US" w:eastAsia="zh-CN"/>
        </w:rPr>
        <w:t>落实《北京市中小企业促进条例》《关于实施十大强企行动激发专精特新企业活力的若干措施》工作部署，规范我市专精特新服务站的建设和管理，健全中小企业服务体系，促进我市专精特新企业高质量发展，制定本办法。</w:t>
      </w:r>
    </w:p>
    <w:p w14:paraId="362C4413">
      <w:pPr>
        <w:keepNext w:val="0"/>
        <w:keepLines w:val="0"/>
        <w:pageBreakBefore w:val="0"/>
        <w:kinsoku/>
        <w:wordWrap/>
        <w:overflowPunct/>
        <w:topLinePunct w:val="0"/>
        <w:autoSpaceDE/>
        <w:autoSpaceDN/>
        <w:bidi w:val="0"/>
        <w:adjustRightInd/>
        <w:spacing w:line="560" w:lineRule="exact"/>
        <w:outlineLvl w:val="1"/>
        <w:rPr>
          <w:rFonts w:hint="eastAsia"/>
          <w:szCs w:val="32"/>
          <w:lang w:eastAsia="zh-CN"/>
        </w:rPr>
      </w:pPr>
      <w:r>
        <w:rPr>
          <w:rFonts w:hint="eastAsia" w:ascii="仿宋_GB2312" w:hAnsi="仿宋_GB2312" w:eastAsia="仿宋_GB2312" w:cs="仿宋_GB2312"/>
          <w:lang w:val="en-US" w:eastAsia="zh-CN"/>
        </w:rPr>
        <w:t>第二条  本办法所称专精特新企业服务站（以下简称“服务站”）是</w:t>
      </w:r>
      <w:r>
        <w:rPr>
          <w:rFonts w:hint="eastAsia" w:ascii="仿宋_GB2312" w:hAnsi="仿宋_GB2312" w:cs="仿宋_GB2312"/>
          <w:lang w:val="en-US" w:eastAsia="zh-CN"/>
        </w:rPr>
        <w:t>指以政策宣贯辅导为核心，以“</w:t>
      </w:r>
      <w:r>
        <w:rPr>
          <w:rFonts w:hint="eastAsia" w:ascii="仿宋_GB2312" w:hAnsi="仿宋_GB2312" w:eastAsia="仿宋_GB2312" w:cs="仿宋_GB2312"/>
          <w:lang w:val="en-US" w:eastAsia="zh-CN"/>
        </w:rPr>
        <w:t>公益</w:t>
      </w:r>
      <w:r>
        <w:rPr>
          <w:rFonts w:hint="eastAsia" w:ascii="仿宋_GB2312" w:hAnsi="仿宋_GB2312" w:cs="仿宋_GB2312"/>
          <w:lang w:val="en-US" w:eastAsia="zh-CN"/>
        </w:rPr>
        <w:t>化</w:t>
      </w:r>
      <w:r>
        <w:rPr>
          <w:rFonts w:hint="eastAsia" w:ascii="仿宋_GB2312" w:hAnsi="仿宋_GB2312" w:eastAsia="仿宋_GB2312" w:cs="仿宋_GB2312"/>
          <w:lang w:val="en-US" w:eastAsia="zh-CN"/>
        </w:rPr>
        <w:t>、专业</w:t>
      </w:r>
      <w:r>
        <w:rPr>
          <w:rFonts w:hint="eastAsia" w:ascii="仿宋_GB2312" w:hAnsi="仿宋_GB2312" w:cs="仿宋_GB2312"/>
          <w:lang w:val="en-US" w:eastAsia="zh-CN"/>
        </w:rPr>
        <w:t>化</w:t>
      </w:r>
      <w:r>
        <w:rPr>
          <w:rFonts w:hint="eastAsia" w:ascii="仿宋_GB2312" w:hAnsi="仿宋_GB2312" w:eastAsia="仿宋_GB2312" w:cs="仿宋_GB2312"/>
          <w:lang w:val="en-US" w:eastAsia="zh-CN"/>
        </w:rPr>
        <w:t>、便利</w:t>
      </w:r>
      <w:r>
        <w:rPr>
          <w:rFonts w:hint="eastAsia" w:ascii="仿宋_GB2312" w:hAnsi="仿宋_GB2312" w:cs="仿宋_GB2312"/>
          <w:lang w:val="en-US" w:eastAsia="zh-CN"/>
        </w:rPr>
        <w:t>化、多元化”为特点，为专精特新企业</w:t>
      </w:r>
      <w:r>
        <w:rPr>
          <w:rFonts w:hint="eastAsia" w:ascii="Times New Roman" w:eastAsia="仿宋_GB2312"/>
          <w:szCs w:val="32"/>
          <w:lang w:val="en-US" w:eastAsia="zh-CN"/>
        </w:rPr>
        <w:t>提供</w:t>
      </w:r>
      <w:r>
        <w:rPr>
          <w:rFonts w:hint="eastAsia"/>
          <w:szCs w:val="32"/>
        </w:rPr>
        <w:t>精准服务的</w:t>
      </w:r>
      <w:r>
        <w:rPr>
          <w:rFonts w:hint="default"/>
          <w:szCs w:val="32"/>
        </w:rPr>
        <w:t>实体化</w:t>
      </w:r>
      <w:r>
        <w:rPr>
          <w:rFonts w:hint="eastAsia"/>
          <w:szCs w:val="32"/>
        </w:rPr>
        <w:t>服务载体</w:t>
      </w:r>
      <w:r>
        <w:rPr>
          <w:rFonts w:hint="eastAsia" w:eastAsia="仿宋_GB2312"/>
          <w:szCs w:val="32"/>
          <w:lang w:eastAsia="zh-CN"/>
        </w:rPr>
        <w:t>。</w:t>
      </w:r>
      <w:r>
        <w:rPr>
          <w:rFonts w:hint="eastAsia"/>
          <w:szCs w:val="32"/>
        </w:rPr>
        <w:t>在普惠服务的基础上，重点在政策</w:t>
      </w:r>
      <w:r>
        <w:rPr>
          <w:rFonts w:hint="eastAsia" w:ascii="Times New Roman" w:eastAsia="仿宋_GB2312"/>
          <w:szCs w:val="32"/>
          <w:lang w:val="en-US" w:eastAsia="zh-CN"/>
        </w:rPr>
        <w:t>宣贯</w:t>
      </w:r>
      <w:r>
        <w:rPr>
          <w:rFonts w:hint="eastAsia"/>
          <w:szCs w:val="32"/>
        </w:rPr>
        <w:t>、市场拓展、数字化转型、投融资对接等方面提供深度服务。</w:t>
      </w:r>
    </w:p>
    <w:p w14:paraId="33D0700A">
      <w:pPr>
        <w:keepNext w:val="0"/>
        <w:keepLines w:val="0"/>
        <w:pageBreakBefore w:val="0"/>
        <w:kinsoku/>
        <w:wordWrap/>
        <w:overflowPunct/>
        <w:topLinePunct w:val="0"/>
        <w:autoSpaceDE/>
        <w:autoSpaceDN/>
        <w:bidi w:val="0"/>
        <w:adjustRightInd/>
        <w:spacing w:line="560" w:lineRule="exact"/>
        <w:outlineLvl w:val="1"/>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第三条  市经济和信息化局组织各区中小企业主管部门共同开展服务站</w:t>
      </w:r>
      <w:r>
        <w:rPr>
          <w:rFonts w:hint="default" w:ascii="仿宋_GB2312" w:hAnsi="仿宋_GB2312" w:cs="仿宋_GB2312"/>
          <w:highlight w:val="none"/>
          <w:lang w:eastAsia="zh-CN"/>
        </w:rPr>
        <w:t>的培育建设</w:t>
      </w:r>
      <w:r>
        <w:rPr>
          <w:rFonts w:hint="eastAsia" w:ascii="仿宋_GB2312" w:hAnsi="仿宋_GB2312" w:eastAsia="仿宋_GB2312" w:cs="仿宋_GB2312"/>
          <w:highlight w:val="none"/>
          <w:lang w:val="en-US" w:eastAsia="zh-CN"/>
        </w:rPr>
        <w:t>、工作指导、监督管理、年度考核工作。“十四五”期间，</w:t>
      </w:r>
      <w:r>
        <w:rPr>
          <w:rFonts w:hint="default" w:ascii="仿宋_GB2312" w:hAnsi="仿宋_GB2312" w:cs="仿宋_GB2312"/>
          <w:highlight w:val="none"/>
          <w:lang w:eastAsia="zh-CN"/>
        </w:rPr>
        <w:t>根据</w:t>
      </w:r>
      <w:r>
        <w:rPr>
          <w:rFonts w:hint="eastAsia" w:ascii="仿宋_GB2312" w:hAnsi="仿宋_GB2312" w:eastAsia="仿宋_GB2312" w:cs="仿宋_GB2312"/>
          <w:highlight w:val="none"/>
          <w:lang w:val="en-US" w:eastAsia="zh-CN"/>
        </w:rPr>
        <w:t>全市</w:t>
      </w:r>
      <w:r>
        <w:rPr>
          <w:rFonts w:hint="default" w:ascii="仿宋_GB2312" w:hAnsi="仿宋_GB2312" w:cs="仿宋_GB2312"/>
          <w:highlight w:val="none"/>
          <w:lang w:eastAsia="zh-CN"/>
        </w:rPr>
        <w:t>专精特新企业区域分布情况，</w:t>
      </w:r>
      <w:r>
        <w:rPr>
          <w:rFonts w:hint="eastAsia" w:ascii="仿宋_GB2312" w:hAnsi="仿宋_GB2312" w:eastAsia="仿宋_GB2312" w:cs="仿宋_GB2312"/>
          <w:highlight w:val="none"/>
          <w:lang w:val="en-US" w:eastAsia="zh-CN"/>
        </w:rPr>
        <w:t>培育</w:t>
      </w:r>
      <w:r>
        <w:rPr>
          <w:rFonts w:hint="default" w:ascii="仿宋_GB2312" w:hAnsi="仿宋_GB2312" w:cs="仿宋_GB2312"/>
          <w:highlight w:val="none"/>
          <w:lang w:eastAsia="zh-CN"/>
        </w:rPr>
        <w:t>建设</w:t>
      </w:r>
      <w:r>
        <w:rPr>
          <w:rFonts w:hint="eastAsia" w:ascii="仿宋_GB2312" w:hAnsi="仿宋_GB2312" w:eastAsia="仿宋_GB2312" w:cs="仿宋_GB2312"/>
          <w:highlight w:val="none"/>
          <w:lang w:val="en-US" w:eastAsia="zh-CN"/>
        </w:rPr>
        <w:t>不少于100家服务站</w:t>
      </w:r>
      <w:r>
        <w:rPr>
          <w:rFonts w:hint="eastAsia" w:ascii="仿宋_GB2312" w:hAnsi="仿宋_GB2312" w:cs="仿宋_GB2312"/>
          <w:highlight w:val="none"/>
          <w:lang w:val="en-US" w:eastAsia="zh-CN"/>
        </w:rPr>
        <w:t>，构建形成专精特新企业“五公里服务圈”。</w:t>
      </w:r>
    </w:p>
    <w:p w14:paraId="4E52EF49">
      <w:pPr>
        <w:keepNext w:val="0"/>
        <w:keepLines w:val="0"/>
        <w:pageBreakBefore w:val="0"/>
        <w:kinsoku/>
        <w:wordWrap/>
        <w:overflowPunct/>
        <w:topLinePunct w:val="0"/>
        <w:autoSpaceDE/>
        <w:autoSpaceDN/>
        <w:bidi w:val="0"/>
        <w:adjustRightInd/>
        <w:spacing w:line="560" w:lineRule="exact"/>
        <w:outlineLvl w:val="1"/>
        <w:rPr>
          <w:rFonts w:hint="default"/>
          <w:lang w:val="en-US" w:eastAsia="zh-CN"/>
        </w:rPr>
      </w:pPr>
      <w:r>
        <w:rPr>
          <w:rFonts w:hint="eastAsia" w:ascii="仿宋_GB2312" w:hAnsi="仿宋_GB2312" w:eastAsia="仿宋_GB2312" w:cs="仿宋_GB2312"/>
          <w:lang w:val="en-US" w:eastAsia="zh-CN"/>
        </w:rPr>
        <w:t>第四条  服务站的命名规则、标识和证书由市经济和</w:t>
      </w:r>
      <w:r>
        <w:rPr>
          <w:rFonts w:hint="eastAsia" w:ascii="Times New Roman" w:eastAsia="仿宋_GB2312"/>
          <w:lang w:val="en-US" w:eastAsia="zh-CN"/>
        </w:rPr>
        <w:t>信息化局统一</w:t>
      </w:r>
      <w:r>
        <w:rPr>
          <w:rFonts w:hint="default"/>
          <w:lang w:val="en-US" w:eastAsia="zh-CN"/>
        </w:rPr>
        <w:t>设定。</w:t>
      </w:r>
      <w:r>
        <w:rPr>
          <w:rFonts w:hint="eastAsia" w:ascii="Times New Roman" w:eastAsia="仿宋_GB2312"/>
          <w:lang w:val="en-US" w:eastAsia="zh-CN"/>
        </w:rPr>
        <w:t>服务</w:t>
      </w:r>
      <w:r>
        <w:rPr>
          <w:rFonts w:hint="default"/>
          <w:lang w:val="en-US" w:eastAsia="zh-CN"/>
        </w:rPr>
        <w:t>站的名称一般为</w:t>
      </w:r>
      <w:r>
        <w:rPr>
          <w:rFonts w:hint="eastAsia" w:ascii="Times New Roman" w:eastAsia="仿宋_GB2312"/>
          <w:lang w:val="en-US" w:eastAsia="zh-CN"/>
        </w:rPr>
        <w:t>“公司简称”加</w:t>
      </w:r>
      <w:r>
        <w:rPr>
          <w:rFonts w:hint="eastAsia"/>
          <w:lang w:val="en-US" w:eastAsia="zh-CN"/>
        </w:rPr>
        <w:t>“</w:t>
      </w:r>
      <w:r>
        <w:rPr>
          <w:rFonts w:hint="default"/>
          <w:lang w:val="en-US" w:eastAsia="zh-CN"/>
        </w:rPr>
        <w:t>服务站</w:t>
      </w:r>
      <w:r>
        <w:rPr>
          <w:rFonts w:hint="eastAsia"/>
          <w:lang w:val="en-US" w:eastAsia="zh-CN"/>
        </w:rPr>
        <w:t>”</w:t>
      </w:r>
      <w:r>
        <w:rPr>
          <w:rFonts w:hint="eastAsia" w:ascii="Times New Roman" w:eastAsia="仿宋_GB2312"/>
          <w:lang w:val="en-US" w:eastAsia="zh-CN"/>
        </w:rPr>
        <w:t>构成</w:t>
      </w:r>
      <w:r>
        <w:rPr>
          <w:rFonts w:hint="default"/>
          <w:lang w:val="en-US" w:eastAsia="zh-CN"/>
        </w:rPr>
        <w:t>。</w:t>
      </w:r>
    </w:p>
    <w:p w14:paraId="53332213">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outlineLvl w:val="0"/>
        <w:rPr>
          <w:rFonts w:hint="eastAsia" w:ascii="黑体" w:hAnsi="黑体" w:eastAsia="黑体" w:cs="黑体"/>
          <w:lang w:val="en-US" w:eastAsia="zh-CN"/>
        </w:rPr>
      </w:pPr>
      <w:r>
        <w:rPr>
          <w:rFonts w:hint="eastAsia" w:ascii="黑体" w:hAnsi="黑体" w:eastAsia="黑体" w:cs="黑体"/>
          <w:lang w:val="en-US" w:eastAsia="zh-CN"/>
        </w:rPr>
        <w:t>第二章  申报条件和程序</w:t>
      </w:r>
    </w:p>
    <w:p w14:paraId="46F13BDF">
      <w:pPr>
        <w:keepNext w:val="0"/>
        <w:keepLines w:val="0"/>
        <w:pageBreakBefore w:val="0"/>
        <w:kinsoku/>
        <w:wordWrap/>
        <w:overflowPunct/>
        <w:topLinePunct w:val="0"/>
        <w:autoSpaceDE/>
        <w:autoSpaceDN/>
        <w:bidi w:val="0"/>
        <w:adjustRightInd/>
        <w:spacing w:line="560" w:lineRule="exact"/>
        <w:outlineLvl w:val="1"/>
        <w:rPr>
          <w:rFonts w:hint="default"/>
          <w:lang w:val="en-US" w:eastAsia="zh-CN"/>
        </w:rPr>
      </w:pPr>
      <w:r>
        <w:rPr>
          <w:rFonts w:hint="eastAsia" w:ascii="Times New Roman" w:eastAsia="仿宋_GB2312"/>
          <w:lang w:val="en-US" w:eastAsia="zh-CN"/>
        </w:rPr>
        <w:t>第五条  服务站建设主体应具备以下条件：</w:t>
      </w:r>
    </w:p>
    <w:p w14:paraId="7D00ACDC">
      <w:pPr>
        <w:keepNext w:val="0"/>
        <w:keepLines w:val="0"/>
        <w:pageBreakBefore w:val="0"/>
        <w:kinsoku/>
        <w:wordWrap/>
        <w:overflowPunct/>
        <w:topLinePunct w:val="0"/>
        <w:autoSpaceDE/>
        <w:autoSpaceDN/>
        <w:bidi w:val="0"/>
        <w:adjustRightInd/>
        <w:spacing w:line="560" w:lineRule="exact"/>
        <w:rPr>
          <w:rFonts w:hint="eastAsia"/>
          <w:lang w:val="en-US" w:eastAsia="zh-CN"/>
        </w:rPr>
      </w:pPr>
      <w:r>
        <w:rPr>
          <w:rFonts w:hint="eastAsia" w:ascii="Times New Roman" w:eastAsia="仿宋_GB2312"/>
          <w:lang w:val="en-US" w:eastAsia="zh-CN"/>
        </w:rPr>
        <w:t>（一）申报主体包括但不限于</w:t>
      </w:r>
      <w:r>
        <w:rPr>
          <w:rFonts w:ascii="仿宋_GB2312" w:hAnsi="宋体" w:eastAsia="仿宋_GB2312" w:cs="宋体"/>
          <w:sz w:val="32"/>
          <w:szCs w:val="32"/>
        </w:rPr>
        <w:t>北京市小型微型企业创业创新示范基地</w:t>
      </w:r>
      <w:r>
        <w:rPr>
          <w:rFonts w:hint="eastAsia" w:ascii="Times New Roman" w:eastAsia="仿宋_GB2312"/>
          <w:lang w:val="en-US" w:eastAsia="zh-CN"/>
        </w:rPr>
        <w:t>、科技企业孵化器、众创空间、大学科技园等创新创业服务组织的运营单位，或专业化服务机构、市级及以上行业组织、高校及科研院所等。</w:t>
      </w:r>
    </w:p>
    <w:p w14:paraId="16DCC3F4">
      <w:pPr>
        <w:keepNext w:val="0"/>
        <w:keepLines w:val="0"/>
        <w:pageBreakBefore w:val="0"/>
        <w:kinsoku/>
        <w:wordWrap/>
        <w:overflowPunct/>
        <w:topLinePunct w:val="0"/>
        <w:autoSpaceDE/>
        <w:autoSpaceDN/>
        <w:bidi w:val="0"/>
        <w:adjustRightInd/>
        <w:spacing w:line="560" w:lineRule="exact"/>
        <w:rPr>
          <w:rFonts w:hint="eastAsia"/>
          <w:lang w:val="en-US" w:eastAsia="zh-CN"/>
        </w:rPr>
      </w:pPr>
      <w:r>
        <w:rPr>
          <w:rFonts w:hint="eastAsia" w:ascii="Times New Roman" w:eastAsia="仿宋_GB2312"/>
          <w:lang w:val="en-US" w:eastAsia="zh-CN"/>
        </w:rPr>
        <w:t>（二）申请主体一般应具有独立法人资格，注册在北京市且成立时间两年及以上。</w:t>
      </w:r>
    </w:p>
    <w:p w14:paraId="55B7AC0C">
      <w:pPr>
        <w:keepNext w:val="0"/>
        <w:keepLines w:val="0"/>
        <w:pageBreakBefore w:val="0"/>
        <w:kinsoku/>
        <w:wordWrap/>
        <w:overflowPunct/>
        <w:topLinePunct w:val="0"/>
        <w:autoSpaceDE/>
        <w:autoSpaceDN/>
        <w:bidi w:val="0"/>
        <w:adjustRightInd/>
        <w:spacing w:line="560" w:lineRule="exact"/>
        <w:rPr>
          <w:rFonts w:hint="eastAsia"/>
          <w:lang w:val="en-US" w:eastAsia="zh-CN"/>
        </w:rPr>
      </w:pPr>
      <w:r>
        <w:rPr>
          <w:rFonts w:hint="default" w:ascii="仿宋_GB2312" w:hAnsi="仿宋_GB2312" w:eastAsia="仿宋_GB2312" w:cs="仿宋_GB2312"/>
          <w:kern w:val="0"/>
          <w:sz w:val="32"/>
          <w:szCs w:val="32"/>
          <w:lang w:val="en-US" w:eastAsia="zh-CN" w:bidi="ar-SA"/>
        </w:rPr>
        <w:t>（三）经营状况良好，单位或法定代表人诚信守法，无司法、行政机关认定的严重失信行为。单位未受到停产停业、吊销证照等行政处罚</w:t>
      </w:r>
      <w:r>
        <w:rPr>
          <w:rFonts w:hint="eastAsia" w:ascii="仿宋_GB2312" w:hAnsi="仿宋_GB2312" w:cs="仿宋_GB2312"/>
          <w:kern w:val="0"/>
          <w:sz w:val="32"/>
          <w:szCs w:val="32"/>
          <w:lang w:val="en-US" w:eastAsia="zh-CN" w:bidi="ar-SA"/>
        </w:rPr>
        <w:t>，法定代表人未受到刑事处罚</w:t>
      </w:r>
      <w:r>
        <w:rPr>
          <w:rFonts w:hint="default" w:ascii="仿宋_GB2312" w:hAnsi="仿宋_GB2312" w:eastAsia="仿宋_GB2312" w:cs="仿宋_GB2312"/>
          <w:kern w:val="0"/>
          <w:sz w:val="32"/>
          <w:szCs w:val="32"/>
          <w:lang w:val="en-US" w:eastAsia="zh-CN" w:bidi="ar-SA"/>
        </w:rPr>
        <w:t>。</w:t>
      </w:r>
    </w:p>
    <w:p w14:paraId="20561B76">
      <w:pPr>
        <w:keepNext w:val="0"/>
        <w:keepLines w:val="0"/>
        <w:pageBreakBefore w:val="0"/>
        <w:kinsoku/>
        <w:wordWrap/>
        <w:overflowPunct/>
        <w:topLinePunct w:val="0"/>
        <w:autoSpaceDE/>
        <w:autoSpaceDN/>
        <w:bidi w:val="0"/>
        <w:adjustRightInd/>
        <w:spacing w:line="560" w:lineRule="exact"/>
        <w:outlineLvl w:val="1"/>
        <w:rPr>
          <w:rFonts w:hint="default"/>
          <w:lang w:val="en-US" w:eastAsia="zh-CN"/>
        </w:rPr>
      </w:pPr>
      <w:r>
        <w:rPr>
          <w:rFonts w:hint="eastAsia" w:ascii="Times New Roman" w:eastAsia="仿宋_GB2312"/>
          <w:lang w:val="en-US" w:eastAsia="zh-CN"/>
        </w:rPr>
        <w:t>第六条  服务站应当具备以下服务条件：</w:t>
      </w:r>
    </w:p>
    <w:p w14:paraId="7D85016B">
      <w:pPr>
        <w:keepNext w:val="0"/>
        <w:keepLines w:val="0"/>
        <w:pageBreakBefore w:val="0"/>
        <w:numPr>
          <w:ilvl w:val="0"/>
          <w:numId w:val="1"/>
        </w:numPr>
        <w:kinsoku/>
        <w:wordWrap/>
        <w:overflowPunct/>
        <w:topLinePunct w:val="0"/>
        <w:autoSpaceDE/>
        <w:autoSpaceDN/>
        <w:bidi w:val="0"/>
        <w:adjustRightInd/>
        <w:spacing w:line="560" w:lineRule="exact"/>
        <w:rPr>
          <w:rFonts w:hint="eastAsia" w:ascii="仿宋_GB2312" w:hAnsi="仿宋_GB2312" w:eastAsia="仿宋_GB2312" w:cs="仿宋_GB2312"/>
          <w:lang w:val="en-US" w:eastAsia="zh-CN"/>
        </w:rPr>
      </w:pPr>
      <w:r>
        <w:rPr>
          <w:rFonts w:hint="eastAsia" w:ascii="Times New Roman" w:eastAsia="仿宋_GB2312"/>
          <w:lang w:val="en-US" w:eastAsia="zh-CN"/>
        </w:rPr>
        <w:t>具有适合开展企业服务的场地、固定对外服务电话以及政策信息传播工具等软硬</w:t>
      </w:r>
      <w:r>
        <w:rPr>
          <w:rFonts w:hint="eastAsia" w:ascii="仿宋_GB2312" w:hAnsi="仿宋_GB2312" w:eastAsia="仿宋_GB2312" w:cs="仿宋_GB2312"/>
          <w:lang w:val="en-US" w:eastAsia="zh-CN"/>
        </w:rPr>
        <w:t>件基础设施，配有至少100平方米的固定办公场所，</w:t>
      </w:r>
      <w:r>
        <w:rPr>
          <w:rFonts w:hint="default" w:ascii="仿宋_GB2312" w:hAnsi="仿宋_GB2312" w:eastAsia="仿宋_GB2312" w:cs="仿宋_GB2312"/>
          <w:lang w:val="en-US" w:eastAsia="zh-CN"/>
        </w:rPr>
        <w:t>及</w:t>
      </w:r>
      <w:r>
        <w:rPr>
          <w:rFonts w:hint="eastAsia" w:ascii="仿宋_GB2312" w:hAnsi="仿宋_GB2312" w:eastAsia="仿宋_GB2312" w:cs="仿宋_GB2312"/>
          <w:lang w:val="en-US" w:eastAsia="zh-CN"/>
        </w:rPr>
        <w:t>不低于1000平方米的可供开展活动、举办宣讲会等的服务空间。</w:t>
      </w:r>
    </w:p>
    <w:p w14:paraId="4F51885D">
      <w:pPr>
        <w:keepNext w:val="0"/>
        <w:keepLines w:val="0"/>
        <w:pageBreakBefore w:val="0"/>
        <w:numPr>
          <w:ilvl w:val="0"/>
          <w:numId w:val="1"/>
        </w:numPr>
        <w:kinsoku/>
        <w:wordWrap/>
        <w:overflowPunct/>
        <w:topLinePunct w:val="0"/>
        <w:autoSpaceDE/>
        <w:autoSpaceDN/>
        <w:bidi w:val="0"/>
        <w:adjustRightInd/>
        <w:spacing w:line="560" w:lineRule="exact"/>
        <w:rPr>
          <w:rFonts w:hint="eastAsia"/>
          <w:lang w:val="en-US" w:eastAsia="zh-CN"/>
        </w:rPr>
      </w:pPr>
      <w:r>
        <w:rPr>
          <w:rFonts w:hint="eastAsia" w:ascii="Times New Roman" w:eastAsia="仿宋_GB2312"/>
          <w:lang w:val="en-US" w:eastAsia="zh-CN"/>
        </w:rPr>
        <w:t>拥有企业服务工作团队，</w:t>
      </w:r>
      <w:r>
        <w:rPr>
          <w:rFonts w:hint="eastAsia" w:ascii="仿宋_GB2312" w:hAnsi="仿宋_GB2312" w:eastAsia="仿宋_GB2312" w:cs="仿宋_GB2312"/>
          <w:lang w:val="en-US" w:eastAsia="zh-CN"/>
        </w:rPr>
        <w:t>配有3名及以上</w:t>
      </w:r>
      <w:r>
        <w:rPr>
          <w:rFonts w:hint="eastAsia" w:ascii="Times New Roman" w:eastAsia="仿宋_GB2312"/>
          <w:lang w:val="en-US" w:eastAsia="zh-CN"/>
        </w:rPr>
        <w:t>具有相关专业知识及经验的专职人员。</w:t>
      </w:r>
    </w:p>
    <w:p w14:paraId="045EE07C">
      <w:pPr>
        <w:keepNext w:val="0"/>
        <w:keepLines w:val="0"/>
        <w:pageBreakBefore w:val="0"/>
        <w:kinsoku/>
        <w:wordWrap/>
        <w:overflowPunct/>
        <w:topLinePunct w:val="0"/>
        <w:autoSpaceDE/>
        <w:autoSpaceDN/>
        <w:bidi w:val="0"/>
        <w:adjustRightInd/>
        <w:spacing w:line="560" w:lineRule="exact"/>
        <w:rPr>
          <w:rFonts w:hint="eastAsia" w:ascii="仿宋_GB2312" w:hAnsi="仿宋_GB2312" w:eastAsia="仿宋_GB2312" w:cs="仿宋_GB2312"/>
          <w:lang w:val="en-US" w:eastAsia="zh-CN"/>
        </w:rPr>
      </w:pPr>
      <w:r>
        <w:rPr>
          <w:rFonts w:hint="eastAsia" w:ascii="Times New Roman" w:eastAsia="仿宋_GB2312"/>
          <w:lang w:val="en-US" w:eastAsia="zh-CN"/>
        </w:rPr>
        <w:t>（三）有较为成熟的服务经验和服务模式，上年度服务专精特新企业不少</w:t>
      </w:r>
      <w:r>
        <w:rPr>
          <w:rFonts w:hint="eastAsia" w:ascii="仿宋_GB2312" w:hAnsi="仿宋_GB2312" w:eastAsia="仿宋_GB2312" w:cs="仿宋_GB2312"/>
          <w:lang w:val="en-US" w:eastAsia="zh-CN"/>
        </w:rPr>
        <w:t>于50家次，或服务中小企业数量不少于300家；为中小企业提供的公益类活动不少于15次。</w:t>
      </w:r>
    </w:p>
    <w:p w14:paraId="40B7510B">
      <w:pPr>
        <w:keepNext w:val="0"/>
        <w:keepLines w:val="0"/>
        <w:pageBreakBefore w:val="0"/>
        <w:kinsoku/>
        <w:wordWrap/>
        <w:overflowPunct/>
        <w:topLinePunct w:val="0"/>
        <w:autoSpaceDE/>
        <w:autoSpaceDN/>
        <w:bidi w:val="0"/>
        <w:adjustRightInd/>
        <w:spacing w:line="560" w:lineRule="exact"/>
        <w:rPr>
          <w:rFonts w:hint="eastAsia"/>
          <w:lang w:val="en-US" w:eastAsia="zh-CN"/>
        </w:rPr>
      </w:pPr>
      <w:r>
        <w:rPr>
          <w:rFonts w:hint="eastAsia" w:ascii="Times New Roman" w:eastAsia="仿宋_GB2312"/>
          <w:lang w:val="en-US" w:eastAsia="zh-CN"/>
        </w:rPr>
        <w:t>（四）具备提供专业化、公益性服务的相关资源。</w:t>
      </w:r>
    </w:p>
    <w:p w14:paraId="37116453">
      <w:pPr>
        <w:keepNext w:val="0"/>
        <w:keepLines w:val="0"/>
        <w:pageBreakBefore w:val="0"/>
        <w:kinsoku/>
        <w:wordWrap/>
        <w:overflowPunct/>
        <w:topLinePunct w:val="0"/>
        <w:autoSpaceDE/>
        <w:autoSpaceDN/>
        <w:bidi w:val="0"/>
        <w:adjustRightInd/>
        <w:spacing w:line="560" w:lineRule="exact"/>
        <w:outlineLvl w:val="1"/>
        <w:rPr>
          <w:rFonts w:hint="default"/>
          <w:lang w:val="en-US" w:eastAsia="zh-CN"/>
        </w:rPr>
      </w:pPr>
      <w:r>
        <w:rPr>
          <w:rFonts w:hint="eastAsia" w:ascii="Times New Roman" w:eastAsia="仿宋_GB2312"/>
          <w:lang w:val="en-US" w:eastAsia="zh-CN"/>
        </w:rPr>
        <w:t>第七条  服务站</w:t>
      </w:r>
      <w:r>
        <w:rPr>
          <w:rFonts w:hint="default"/>
          <w:lang w:eastAsia="zh-CN"/>
        </w:rPr>
        <w:t>培育建设</w:t>
      </w:r>
      <w:r>
        <w:rPr>
          <w:rFonts w:hint="eastAsia" w:ascii="Times New Roman" w:eastAsia="仿宋_GB2312"/>
          <w:lang w:val="en-US" w:eastAsia="zh-CN"/>
        </w:rPr>
        <w:t>工作流程为：</w:t>
      </w:r>
    </w:p>
    <w:p w14:paraId="051C80C2">
      <w:pPr>
        <w:keepNext w:val="0"/>
        <w:keepLines w:val="0"/>
        <w:pageBreakBefore w:val="0"/>
        <w:kinsoku/>
        <w:wordWrap/>
        <w:overflowPunct/>
        <w:topLinePunct w:val="0"/>
        <w:autoSpaceDE/>
        <w:autoSpaceDN/>
        <w:bidi w:val="0"/>
        <w:adjustRightInd/>
        <w:spacing w:line="560" w:lineRule="exact"/>
        <w:rPr>
          <w:rFonts w:hint="eastAsia"/>
          <w:lang w:val="en-US" w:eastAsia="zh-CN"/>
        </w:rPr>
      </w:pPr>
      <w:r>
        <w:rPr>
          <w:rFonts w:hint="eastAsia" w:ascii="Times New Roman" w:eastAsia="仿宋_GB2312"/>
          <w:lang w:val="en-US" w:eastAsia="zh-CN"/>
        </w:rPr>
        <w:t>（一）坚持自愿申报、公开透明、动态调整的原则，原则上每年开展一次。具体时间和要求以当年申报通知为准。</w:t>
      </w:r>
    </w:p>
    <w:p w14:paraId="5C496F02">
      <w:pPr>
        <w:keepNext w:val="0"/>
        <w:keepLines w:val="0"/>
        <w:pageBreakBefore w:val="0"/>
        <w:kinsoku/>
        <w:wordWrap/>
        <w:overflowPunct/>
        <w:topLinePunct w:val="0"/>
        <w:autoSpaceDE/>
        <w:autoSpaceDN/>
        <w:bidi w:val="0"/>
        <w:adjustRightInd/>
        <w:spacing w:line="560" w:lineRule="exact"/>
        <w:rPr>
          <w:rFonts w:hint="eastAsia"/>
          <w:lang w:val="en-US" w:eastAsia="zh-CN"/>
        </w:rPr>
      </w:pPr>
      <w:r>
        <w:rPr>
          <w:rFonts w:hint="eastAsia" w:ascii="Times New Roman" w:eastAsia="仿宋_GB2312"/>
          <w:lang w:val="en-US" w:eastAsia="zh-CN"/>
        </w:rPr>
        <w:t>（二）符合条件的申报主体按照属地化管理原则向所在区中小企业主管部门提交申报材料，申报单位应如实填写申报材料，并对申报材料的真实性和完整性负全部责任。各区中小企业主管部门负责本区服务站的材料受理和初审，</w:t>
      </w:r>
      <w:r>
        <w:rPr>
          <w:rFonts w:hint="default"/>
          <w:lang w:eastAsia="zh-CN"/>
        </w:rPr>
        <w:t>根据当年通知要求，结合本区域专精特新企业分布情况择优确定服务站推荐名单，</w:t>
      </w:r>
      <w:r>
        <w:rPr>
          <w:rFonts w:hint="eastAsia" w:ascii="Times New Roman" w:eastAsia="仿宋_GB2312"/>
          <w:lang w:val="en-US" w:eastAsia="zh-CN"/>
        </w:rPr>
        <w:t>并在规定时间将推荐</w:t>
      </w:r>
      <w:r>
        <w:rPr>
          <w:rFonts w:hint="default"/>
          <w:lang w:eastAsia="zh-CN"/>
        </w:rPr>
        <w:t>名单报送</w:t>
      </w:r>
      <w:r>
        <w:rPr>
          <w:rFonts w:hint="eastAsia" w:ascii="Times New Roman" w:eastAsia="仿宋_GB2312"/>
          <w:lang w:val="en-US" w:eastAsia="zh-CN"/>
        </w:rPr>
        <w:t>至市经济和信息化局。</w:t>
      </w:r>
    </w:p>
    <w:p w14:paraId="145E031B">
      <w:pPr>
        <w:keepNext w:val="0"/>
        <w:keepLines w:val="0"/>
        <w:pageBreakBefore w:val="0"/>
        <w:kinsoku/>
        <w:wordWrap/>
        <w:overflowPunct/>
        <w:topLinePunct w:val="0"/>
        <w:autoSpaceDE/>
        <w:autoSpaceDN/>
        <w:bidi w:val="0"/>
        <w:adjustRightInd/>
        <w:spacing w:line="560" w:lineRule="exact"/>
        <w:rPr>
          <w:rFonts w:hint="default" w:ascii="微软雅黑" w:hAnsi="微软雅黑" w:eastAsia="微软雅黑" w:cs="微软雅黑"/>
          <w:i w:val="0"/>
          <w:iCs w:val="0"/>
          <w:caps w:val="0"/>
          <w:color w:val="404040"/>
          <w:spacing w:val="0"/>
          <w:sz w:val="24"/>
          <w:szCs w:val="24"/>
          <w:lang w:val="en-US" w:eastAsia="zh-CN"/>
        </w:rPr>
      </w:pPr>
      <w:r>
        <w:rPr>
          <w:rFonts w:hint="eastAsia" w:ascii="Times New Roman" w:eastAsia="仿宋_GB2312"/>
          <w:lang w:val="en-US" w:eastAsia="zh-CN"/>
        </w:rPr>
        <w:t>（三）市经济和信息化局组织复审，形成北京市专精特新服务站</w:t>
      </w:r>
      <w:r>
        <w:rPr>
          <w:rFonts w:hint="default"/>
          <w:lang w:eastAsia="zh-CN"/>
        </w:rPr>
        <w:t>培育建设</w:t>
      </w:r>
      <w:r>
        <w:rPr>
          <w:rFonts w:hint="eastAsia" w:ascii="Times New Roman" w:eastAsia="仿宋_GB2312"/>
          <w:lang w:val="en-US" w:eastAsia="zh-CN"/>
        </w:rPr>
        <w:t>名单，公示无异议后予以公告。</w:t>
      </w:r>
    </w:p>
    <w:p w14:paraId="13610336">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outlineLvl w:val="0"/>
        <w:rPr>
          <w:rFonts w:hint="eastAsia" w:ascii="黑体" w:hAnsi="黑体" w:eastAsia="黑体" w:cs="黑体"/>
          <w:lang w:val="en-US" w:eastAsia="zh-CN"/>
        </w:rPr>
      </w:pPr>
      <w:r>
        <w:rPr>
          <w:rFonts w:hint="eastAsia" w:ascii="黑体" w:hAnsi="黑体" w:eastAsia="黑体" w:cs="黑体"/>
          <w:lang w:val="en-US" w:eastAsia="zh-CN"/>
        </w:rPr>
        <w:t>第三章  服务站工作职责</w:t>
      </w:r>
    </w:p>
    <w:p w14:paraId="690E72E6">
      <w:pPr>
        <w:keepNext w:val="0"/>
        <w:keepLines w:val="0"/>
        <w:pageBreakBefore w:val="0"/>
        <w:kinsoku/>
        <w:wordWrap/>
        <w:overflowPunct/>
        <w:topLinePunct w:val="0"/>
        <w:autoSpaceDE/>
        <w:autoSpaceDN/>
        <w:bidi w:val="0"/>
        <w:adjustRightInd/>
        <w:spacing w:line="560" w:lineRule="exact"/>
        <w:outlineLvl w:val="1"/>
        <w:rPr>
          <w:rFonts w:hint="eastAsia"/>
          <w:lang w:val="en-US" w:eastAsia="zh-CN"/>
        </w:rPr>
      </w:pPr>
      <w:r>
        <w:rPr>
          <w:rFonts w:hint="eastAsia" w:cs="Times New Roman"/>
          <w:kern w:val="2"/>
          <w:sz w:val="32"/>
          <w:szCs w:val="24"/>
          <w:lang w:val="en-US" w:eastAsia="zh-CN" w:bidi="ar-SA"/>
        </w:rPr>
        <w:t>第八条  服务站</w:t>
      </w:r>
      <w:r>
        <w:rPr>
          <w:rFonts w:hint="eastAsia" w:ascii="仿宋_GB2312" w:hAnsi="仿宋_GB2312" w:eastAsia="仿宋_GB2312" w:cs="Times New Roman"/>
          <w:kern w:val="2"/>
          <w:sz w:val="32"/>
          <w:szCs w:val="24"/>
          <w:lang w:val="en-US" w:eastAsia="zh-CN" w:bidi="ar-SA"/>
        </w:rPr>
        <w:t>应</w:t>
      </w:r>
      <w:r>
        <w:rPr>
          <w:rFonts w:hint="eastAsia" w:cs="Times New Roman"/>
          <w:kern w:val="2"/>
          <w:sz w:val="32"/>
          <w:szCs w:val="24"/>
          <w:lang w:val="en-US" w:eastAsia="zh-CN" w:bidi="ar-SA"/>
        </w:rPr>
        <w:t>在相关服务领域中具备</w:t>
      </w:r>
      <w:r>
        <w:rPr>
          <w:rFonts w:hint="eastAsia" w:ascii="仿宋_GB2312" w:hAnsi="仿宋_GB2312" w:eastAsia="仿宋_GB2312" w:cs="Times New Roman"/>
          <w:kern w:val="2"/>
          <w:sz w:val="32"/>
          <w:szCs w:val="24"/>
          <w:lang w:val="en-US" w:eastAsia="zh-CN" w:bidi="ar-SA"/>
        </w:rPr>
        <w:t>过硬的专业能力</w:t>
      </w:r>
      <w:r>
        <w:rPr>
          <w:rFonts w:hint="eastAsia" w:cs="Times New Roman"/>
          <w:kern w:val="2"/>
          <w:sz w:val="32"/>
          <w:szCs w:val="24"/>
          <w:lang w:val="en-US" w:eastAsia="zh-CN" w:bidi="ar-SA"/>
        </w:rPr>
        <w:t>及服务团队，为专精特新企业提供</w:t>
      </w:r>
      <w:r>
        <w:rPr>
          <w:rFonts w:hint="eastAsia" w:ascii="仿宋_GB2312" w:hAnsi="仿宋_GB2312" w:eastAsia="仿宋_GB2312" w:cs="Times New Roman"/>
          <w:kern w:val="2"/>
          <w:sz w:val="32"/>
          <w:szCs w:val="24"/>
          <w:lang w:val="en-US" w:eastAsia="zh-CN" w:bidi="ar-SA"/>
        </w:rPr>
        <w:t>技术研发、成果转化、融资促进、融通发展、</w:t>
      </w:r>
      <w:r>
        <w:rPr>
          <w:rFonts w:hint="default" w:ascii="仿宋_GB2312" w:hAnsi="仿宋_GB2312" w:cs="Times New Roman"/>
          <w:kern w:val="2"/>
          <w:sz w:val="32"/>
          <w:szCs w:val="24"/>
          <w:lang w:eastAsia="zh-CN" w:bidi="ar-SA"/>
        </w:rPr>
        <w:t>上市挂牌、</w:t>
      </w:r>
      <w:r>
        <w:rPr>
          <w:rFonts w:hint="eastAsia" w:ascii="仿宋_GB2312" w:hAnsi="仿宋_GB2312" w:eastAsia="仿宋_GB2312" w:cs="Times New Roman"/>
          <w:kern w:val="2"/>
          <w:sz w:val="32"/>
          <w:szCs w:val="24"/>
          <w:lang w:val="en-US" w:eastAsia="zh-CN" w:bidi="ar-SA"/>
        </w:rPr>
        <w:t>数字化转型、法律税务</w:t>
      </w:r>
      <w:r>
        <w:rPr>
          <w:rFonts w:hint="eastAsia" w:cs="Times New Roman"/>
          <w:kern w:val="2"/>
          <w:sz w:val="32"/>
          <w:szCs w:val="24"/>
          <w:lang w:val="en-US" w:eastAsia="zh-CN" w:bidi="ar-SA"/>
        </w:rPr>
        <w:t>等专业服务</w:t>
      </w:r>
      <w:r>
        <w:rPr>
          <w:rFonts w:hint="eastAsia" w:ascii="仿宋_GB2312" w:hAnsi="仿宋_GB2312" w:eastAsia="仿宋_GB2312" w:cs="Times New Roman"/>
          <w:kern w:val="2"/>
          <w:sz w:val="32"/>
          <w:szCs w:val="24"/>
          <w:lang w:val="en-US" w:eastAsia="zh-CN" w:bidi="ar-SA"/>
        </w:rPr>
        <w:t>。</w:t>
      </w:r>
    </w:p>
    <w:p w14:paraId="4BC41C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420"/>
        <w:textAlignment w:val="baseline"/>
        <w:outlineLvl w:val="1"/>
        <w:rPr>
          <w:rFonts w:hint="eastAsia" w:ascii="仿宋_GB2312" w:hAnsi="仿宋_GB2312" w:eastAsia="仿宋_GB2312" w:cs="Times New Roman"/>
          <w:kern w:val="2"/>
          <w:sz w:val="32"/>
          <w:szCs w:val="24"/>
          <w:lang w:val="en-US" w:eastAsia="zh-CN" w:bidi="ar-SA"/>
        </w:rPr>
      </w:pPr>
      <w:r>
        <w:rPr>
          <w:rFonts w:hint="eastAsia" w:ascii="Times New Roman" w:eastAsia="仿宋_GB2312"/>
          <w:lang w:val="en-US" w:eastAsia="zh-CN"/>
        </w:rPr>
        <w:t xml:space="preserve">第九条  </w:t>
      </w:r>
      <w:r>
        <w:rPr>
          <w:rFonts w:hint="eastAsia" w:cs="Times New Roman"/>
          <w:kern w:val="2"/>
          <w:sz w:val="32"/>
          <w:szCs w:val="24"/>
          <w:lang w:val="en-US" w:eastAsia="zh-CN" w:bidi="ar-SA"/>
        </w:rPr>
        <w:t>服务站</w:t>
      </w:r>
      <w:r>
        <w:rPr>
          <w:rFonts w:hint="eastAsia" w:ascii="仿宋_GB2312" w:hAnsi="仿宋_GB2312" w:eastAsia="仿宋_GB2312" w:cs="Times New Roman"/>
          <w:kern w:val="2"/>
          <w:sz w:val="32"/>
          <w:szCs w:val="24"/>
          <w:lang w:val="en-US" w:eastAsia="zh-CN" w:bidi="ar-SA"/>
        </w:rPr>
        <w:t>应及时响应企业</w:t>
      </w:r>
      <w:r>
        <w:rPr>
          <w:rFonts w:hint="eastAsia" w:cs="Times New Roman"/>
          <w:kern w:val="2"/>
          <w:sz w:val="32"/>
          <w:szCs w:val="24"/>
          <w:lang w:val="en-US" w:eastAsia="zh-CN" w:bidi="ar-SA"/>
        </w:rPr>
        <w:t>需求</w:t>
      </w:r>
      <w:r>
        <w:rPr>
          <w:rFonts w:hint="eastAsia" w:ascii="仿宋_GB2312" w:hAnsi="仿宋_GB2312" w:eastAsia="仿宋_GB2312" w:cs="Times New Roman"/>
          <w:kern w:val="2"/>
          <w:sz w:val="32"/>
          <w:szCs w:val="24"/>
          <w:lang w:val="en-US" w:eastAsia="zh-CN" w:bidi="ar-SA"/>
        </w:rPr>
        <w:t>，为专精特新企业提供政策宣贯、</w:t>
      </w:r>
      <w:r>
        <w:rPr>
          <w:rFonts w:hint="eastAsia" w:cs="Times New Roman"/>
          <w:kern w:val="2"/>
          <w:sz w:val="32"/>
          <w:szCs w:val="24"/>
          <w:lang w:val="en-US" w:eastAsia="zh-CN" w:bidi="ar-SA"/>
        </w:rPr>
        <w:t>专业</w:t>
      </w:r>
      <w:r>
        <w:rPr>
          <w:rFonts w:hint="eastAsia" w:ascii="仿宋_GB2312" w:hAnsi="仿宋_GB2312" w:eastAsia="仿宋_GB2312" w:cs="Times New Roman"/>
          <w:kern w:val="2"/>
          <w:sz w:val="32"/>
          <w:szCs w:val="24"/>
          <w:lang w:val="en-US" w:eastAsia="zh-CN" w:bidi="ar-SA"/>
        </w:rPr>
        <w:t>培训</w:t>
      </w:r>
      <w:r>
        <w:rPr>
          <w:rFonts w:hint="eastAsia" w:cs="Times New Roman"/>
          <w:kern w:val="2"/>
          <w:sz w:val="32"/>
          <w:szCs w:val="24"/>
          <w:lang w:val="en-US" w:eastAsia="zh-CN" w:bidi="ar-SA"/>
        </w:rPr>
        <w:t>、党建业务</w:t>
      </w:r>
      <w:r>
        <w:rPr>
          <w:rFonts w:hint="eastAsia" w:ascii="仿宋_GB2312" w:hAnsi="仿宋_GB2312" w:eastAsia="仿宋_GB2312" w:cs="Times New Roman"/>
          <w:kern w:val="2"/>
          <w:sz w:val="32"/>
          <w:szCs w:val="24"/>
          <w:lang w:val="en-US" w:eastAsia="zh-CN" w:bidi="ar-SA"/>
        </w:rPr>
        <w:t>等公益服务，</w:t>
      </w:r>
      <w:r>
        <w:rPr>
          <w:rFonts w:hint="eastAsia" w:cs="Times New Roman"/>
          <w:kern w:val="2"/>
          <w:sz w:val="32"/>
          <w:szCs w:val="24"/>
          <w:lang w:val="en-US" w:eastAsia="zh-CN" w:bidi="ar-SA"/>
        </w:rPr>
        <w:t>协助市区</w:t>
      </w:r>
      <w:r>
        <w:rPr>
          <w:rFonts w:hint="eastAsia" w:ascii="仿宋_GB2312" w:hAnsi="仿宋_GB2312" w:eastAsia="仿宋_GB2312" w:cs="Times New Roman"/>
          <w:kern w:val="2"/>
          <w:sz w:val="32"/>
          <w:szCs w:val="24"/>
          <w:lang w:val="en-US" w:eastAsia="zh-CN" w:bidi="ar-SA"/>
        </w:rPr>
        <w:t>中小企业主管部门</w:t>
      </w:r>
      <w:r>
        <w:rPr>
          <w:rFonts w:hint="eastAsia" w:cs="Times New Roman"/>
          <w:kern w:val="2"/>
          <w:sz w:val="32"/>
          <w:szCs w:val="24"/>
          <w:lang w:val="en-US" w:eastAsia="zh-CN" w:bidi="ar-SA"/>
        </w:rPr>
        <w:t>落实</w:t>
      </w:r>
      <w:r>
        <w:rPr>
          <w:rFonts w:hint="eastAsia" w:ascii="仿宋_GB2312" w:hAnsi="仿宋_GB2312" w:eastAsia="仿宋_GB2312" w:cs="Times New Roman"/>
          <w:kern w:val="2"/>
          <w:sz w:val="32"/>
          <w:szCs w:val="24"/>
          <w:lang w:val="en-US" w:eastAsia="zh-CN" w:bidi="ar-SA"/>
        </w:rPr>
        <w:t>企业服务工作。</w:t>
      </w:r>
    </w:p>
    <w:p w14:paraId="45AC86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baseline"/>
        <w:outlineLvl w:val="1"/>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第十条  服务站应主动收集专精特新企业面临的困难和诉求，积极向区中小企业主管部门反映。</w:t>
      </w:r>
    </w:p>
    <w:p w14:paraId="73C0E3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left"/>
        <w:textAlignment w:val="baseline"/>
        <w:outlineLvl w:val="1"/>
        <w:rPr>
          <w:rFonts w:hint="eastAsia" w:ascii="仿宋_GB2312" w:hAnsi="仿宋_GB2312"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第十一条 服务站需</w:t>
      </w:r>
      <w:r>
        <w:rPr>
          <w:rFonts w:hint="eastAsia" w:ascii="仿宋_GB2312" w:hAnsi="仿宋_GB2312" w:eastAsia="仿宋_GB2312" w:cs="Times New Roman"/>
          <w:kern w:val="2"/>
          <w:sz w:val="32"/>
          <w:szCs w:val="24"/>
          <w:lang w:val="en-US" w:eastAsia="zh-CN" w:bidi="ar-SA"/>
        </w:rPr>
        <w:t>制定内容清晰、服务措施针对性强的服务</w:t>
      </w:r>
      <w:r>
        <w:rPr>
          <w:rFonts w:hint="eastAsia" w:ascii="Times New Roman" w:hAnsi="Times New Roman" w:eastAsia="仿宋_GB2312" w:cs="Times New Roman"/>
          <w:kern w:val="2"/>
          <w:sz w:val="32"/>
          <w:szCs w:val="24"/>
          <w:lang w:val="en-US" w:eastAsia="zh-CN" w:bidi="ar-SA"/>
        </w:rPr>
        <w:t>方案</w:t>
      </w:r>
      <w:r>
        <w:rPr>
          <w:rFonts w:hint="eastAsia" w:ascii="仿宋_GB2312" w:hAnsi="仿宋_GB2312" w:eastAsia="仿宋_GB2312" w:cs="Times New Roman"/>
          <w:kern w:val="2"/>
          <w:sz w:val="32"/>
          <w:szCs w:val="24"/>
          <w:lang w:val="en-US" w:eastAsia="zh-CN" w:bidi="ar-SA"/>
        </w:rPr>
        <w:t>。方案应包括服务目标、服务内容和实施计划、工作保障措施等内容，</w:t>
      </w:r>
      <w:r>
        <w:rPr>
          <w:rFonts w:hint="eastAsia" w:ascii="Times New Roman" w:hAnsi="Times New Roman" w:eastAsia="仿宋_GB2312" w:cs="Times New Roman"/>
          <w:kern w:val="2"/>
          <w:sz w:val="32"/>
          <w:szCs w:val="24"/>
          <w:lang w:val="en-US" w:eastAsia="zh-CN" w:bidi="ar-SA"/>
        </w:rPr>
        <w:t>精准响应</w:t>
      </w:r>
      <w:r>
        <w:rPr>
          <w:rFonts w:hint="eastAsia" w:ascii="仿宋_GB2312" w:hAnsi="仿宋_GB2312" w:eastAsia="仿宋_GB2312" w:cs="Times New Roman"/>
          <w:kern w:val="2"/>
          <w:sz w:val="32"/>
          <w:szCs w:val="24"/>
          <w:lang w:val="en-US" w:eastAsia="zh-CN" w:bidi="ar-SA"/>
        </w:rPr>
        <w:t>专精特新企业</w:t>
      </w:r>
      <w:r>
        <w:rPr>
          <w:rFonts w:hint="eastAsia" w:ascii="Times New Roman" w:hAnsi="Times New Roman" w:eastAsia="仿宋_GB2312" w:cs="Times New Roman"/>
          <w:kern w:val="2"/>
          <w:sz w:val="32"/>
          <w:szCs w:val="24"/>
          <w:lang w:val="en-US" w:eastAsia="zh-CN" w:bidi="ar-SA"/>
        </w:rPr>
        <w:t>需求</w:t>
      </w:r>
      <w:r>
        <w:rPr>
          <w:rFonts w:hint="eastAsia" w:ascii="仿宋_GB2312" w:hAnsi="仿宋_GB2312" w:eastAsia="仿宋_GB2312" w:cs="Times New Roman"/>
          <w:kern w:val="2"/>
          <w:sz w:val="32"/>
          <w:szCs w:val="24"/>
          <w:lang w:val="en-US" w:eastAsia="zh-CN" w:bidi="ar-SA"/>
        </w:rPr>
        <w:t>。</w:t>
      </w:r>
    </w:p>
    <w:p w14:paraId="62CF1D11">
      <w:pPr>
        <w:keepNext w:val="0"/>
        <w:keepLines w:val="0"/>
        <w:pageBreakBefore w:val="0"/>
        <w:kinsoku/>
        <w:wordWrap/>
        <w:overflowPunct/>
        <w:topLinePunct w:val="0"/>
        <w:autoSpaceDE/>
        <w:autoSpaceDN/>
        <w:bidi w:val="0"/>
        <w:adjustRightInd/>
        <w:spacing w:line="560" w:lineRule="exact"/>
        <w:outlineLvl w:val="1"/>
        <w:rPr>
          <w:rFonts w:hint="default"/>
          <w:lang w:val="en-US" w:eastAsia="zh-CN"/>
        </w:rPr>
      </w:pPr>
      <w:r>
        <w:rPr>
          <w:rFonts w:hint="eastAsia" w:ascii="Times New Roman" w:eastAsia="仿宋_GB2312"/>
          <w:lang w:val="en-US" w:eastAsia="zh-CN"/>
        </w:rPr>
        <w:t>第十二条 服务站应制定工作制度，包括工作流程、服务标准、人员管理等内容。</w:t>
      </w:r>
    </w:p>
    <w:p w14:paraId="7132D41E">
      <w:pPr>
        <w:keepNext w:val="0"/>
        <w:keepLines w:val="0"/>
        <w:pageBreakBefore w:val="0"/>
        <w:kinsoku/>
        <w:wordWrap/>
        <w:overflowPunct/>
        <w:topLinePunct w:val="0"/>
        <w:autoSpaceDE/>
        <w:autoSpaceDN/>
        <w:bidi w:val="0"/>
        <w:adjustRightInd/>
        <w:spacing w:line="560" w:lineRule="exact"/>
        <w:outlineLvl w:val="1"/>
        <w:rPr>
          <w:rFonts w:hint="eastAsia"/>
          <w:lang w:val="en-US" w:eastAsia="zh-CN"/>
        </w:rPr>
      </w:pPr>
      <w:r>
        <w:rPr>
          <w:rFonts w:hint="eastAsia" w:ascii="Times New Roman" w:eastAsia="仿宋_GB2312"/>
          <w:lang w:val="en-US" w:eastAsia="zh-CN"/>
        </w:rPr>
        <w:t>第十三条 服务站应设置固定联络员，按季度报送服务开展情况。</w:t>
      </w:r>
    </w:p>
    <w:p w14:paraId="19F4F1BE">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outlineLvl w:val="0"/>
        <w:rPr>
          <w:rFonts w:hint="default" w:ascii="黑体" w:hAnsi="黑体" w:eastAsia="黑体" w:cs="黑体"/>
          <w:lang w:val="en-US" w:eastAsia="zh-CN"/>
        </w:rPr>
      </w:pPr>
      <w:r>
        <w:rPr>
          <w:rFonts w:hint="eastAsia" w:ascii="黑体" w:hAnsi="黑体" w:eastAsia="黑体" w:cs="黑体"/>
          <w:lang w:val="en-US" w:eastAsia="zh-CN"/>
        </w:rPr>
        <w:t>第四章  政策支持</w:t>
      </w:r>
    </w:p>
    <w:p w14:paraId="46AF52EA">
      <w:pPr>
        <w:keepNext w:val="0"/>
        <w:keepLines w:val="0"/>
        <w:pageBreakBefore w:val="0"/>
        <w:kinsoku/>
        <w:wordWrap/>
        <w:overflowPunct/>
        <w:topLinePunct w:val="0"/>
        <w:autoSpaceDE/>
        <w:autoSpaceDN/>
        <w:bidi w:val="0"/>
        <w:adjustRightInd/>
        <w:spacing w:line="560" w:lineRule="exact"/>
        <w:outlineLvl w:val="1"/>
        <w:rPr>
          <w:rFonts w:hint="eastAsia" w:cs="Times New Roman"/>
          <w:kern w:val="2"/>
          <w:sz w:val="32"/>
          <w:szCs w:val="24"/>
          <w:lang w:val="en-US" w:eastAsia="zh-CN" w:bidi="ar-SA"/>
        </w:rPr>
      </w:pPr>
      <w:r>
        <w:rPr>
          <w:rFonts w:hint="eastAsia" w:ascii="Times New Roman" w:eastAsia="仿宋_GB2312"/>
          <w:lang w:val="en-US" w:eastAsia="zh-CN"/>
        </w:rPr>
        <w:t>第十四条 市经济和信息化局对服务站申报</w:t>
      </w:r>
      <w:r>
        <w:rPr>
          <w:rFonts w:hint="eastAsia" w:ascii="Times New Roman" w:eastAsia="仿宋_GB2312"/>
          <w:highlight w:val="none"/>
          <w:lang w:val="en-US" w:eastAsia="zh-CN"/>
        </w:rPr>
        <w:t>小型微型企业创业创新示范基地、</w:t>
      </w:r>
      <w:r>
        <w:rPr>
          <w:rFonts w:hint="eastAsia" w:ascii="Times New Roman" w:eastAsia="仿宋_GB2312"/>
          <w:lang w:val="en-US" w:eastAsia="zh-CN"/>
        </w:rPr>
        <w:t>专精特新特色园区等中小企业服务载体时予以倾斜</w:t>
      </w:r>
      <w:r>
        <w:rPr>
          <w:rFonts w:hint="eastAsia" w:cs="Times New Roman"/>
          <w:kern w:val="2"/>
          <w:sz w:val="32"/>
          <w:szCs w:val="24"/>
          <w:lang w:val="en-US" w:eastAsia="zh-CN" w:bidi="ar-SA"/>
        </w:rPr>
        <w:t>。</w:t>
      </w:r>
    </w:p>
    <w:p w14:paraId="31956A16">
      <w:pPr>
        <w:keepNext w:val="0"/>
        <w:keepLines w:val="0"/>
        <w:pageBreakBefore w:val="0"/>
        <w:kinsoku/>
        <w:wordWrap/>
        <w:overflowPunct/>
        <w:topLinePunct w:val="0"/>
        <w:autoSpaceDE/>
        <w:autoSpaceDN/>
        <w:bidi w:val="0"/>
        <w:adjustRightInd/>
        <w:spacing w:line="560" w:lineRule="exact"/>
        <w:outlineLvl w:val="1"/>
        <w:rPr>
          <w:rFonts w:hint="default"/>
          <w:lang w:val="en-US" w:eastAsia="zh-CN"/>
        </w:rPr>
      </w:pPr>
      <w:r>
        <w:rPr>
          <w:rFonts w:hint="eastAsia" w:ascii="Times New Roman" w:eastAsia="仿宋_GB2312"/>
          <w:lang w:val="en-US" w:eastAsia="zh-CN"/>
        </w:rPr>
        <w:t>第十五条 市区两级中小企业主管部门主办的“千亿畅融”融资路演、“一月一链”大中小企业融通、“益企京彩”数字化转型等品牌活动，优先在具备条件的服务站举办，扩大服务站影响力。</w:t>
      </w:r>
    </w:p>
    <w:p w14:paraId="65149FD7">
      <w:pPr>
        <w:keepNext w:val="0"/>
        <w:keepLines w:val="0"/>
        <w:pageBreakBefore w:val="0"/>
        <w:kinsoku/>
        <w:wordWrap/>
        <w:overflowPunct/>
        <w:topLinePunct w:val="0"/>
        <w:autoSpaceDE/>
        <w:autoSpaceDN/>
        <w:bidi w:val="0"/>
        <w:adjustRightInd/>
        <w:spacing w:line="560" w:lineRule="exact"/>
        <w:outlineLvl w:val="1"/>
        <w:rPr>
          <w:rFonts w:hint="eastAsia"/>
          <w:lang w:val="en-US" w:eastAsia="zh-CN"/>
        </w:rPr>
      </w:pPr>
      <w:r>
        <w:rPr>
          <w:rFonts w:hint="eastAsia" w:ascii="Times New Roman" w:eastAsia="仿宋_GB2312"/>
          <w:lang w:val="en-US" w:eastAsia="zh-CN"/>
        </w:rPr>
        <w:t>第十六条 鼓励各区中小企业主管部门对服务成效较好的服务站，给予资金或其他方面支持。</w:t>
      </w:r>
    </w:p>
    <w:p w14:paraId="49B4D79F">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outlineLvl w:val="0"/>
        <w:rPr>
          <w:rFonts w:hint="default" w:ascii="黑体" w:hAnsi="黑体" w:eastAsia="黑体" w:cs="黑体"/>
          <w:lang w:val="en-US" w:eastAsia="zh-CN"/>
        </w:rPr>
      </w:pPr>
      <w:r>
        <w:rPr>
          <w:rFonts w:hint="eastAsia" w:ascii="黑体" w:hAnsi="黑体" w:eastAsia="黑体" w:cs="黑体"/>
          <w:lang w:val="en-US" w:eastAsia="zh-CN"/>
        </w:rPr>
        <w:t>第五章  动态管理</w:t>
      </w:r>
    </w:p>
    <w:p w14:paraId="67DB435B">
      <w:pPr>
        <w:keepNext w:val="0"/>
        <w:keepLines w:val="0"/>
        <w:pageBreakBefore w:val="0"/>
        <w:widowControl/>
        <w:kinsoku/>
        <w:wordWrap/>
        <w:overflowPunct/>
        <w:topLinePunct w:val="0"/>
        <w:autoSpaceDE/>
        <w:autoSpaceDN/>
        <w:bidi w:val="0"/>
        <w:adjustRightInd/>
        <w:snapToGrid w:val="0"/>
        <w:spacing w:line="560" w:lineRule="exact"/>
        <w:ind w:firstLine="658"/>
        <w:outlineLvl w:val="1"/>
        <w:rPr>
          <w:rFonts w:ascii="仿宋_GB2312" w:hAnsi="宋体" w:cs="宋体"/>
          <w:color w:val="auto"/>
          <w:sz w:val="32"/>
          <w:szCs w:val="32"/>
        </w:rPr>
      </w:pPr>
      <w:r>
        <w:rPr>
          <w:rFonts w:ascii="仿宋_GB2312" w:hAnsi="宋体" w:eastAsia="仿宋_GB2312" w:cs="宋体"/>
          <w:color w:val="auto"/>
          <w:sz w:val="32"/>
          <w:szCs w:val="32"/>
        </w:rPr>
        <w:t>第</w:t>
      </w:r>
      <w:r>
        <w:rPr>
          <w:rFonts w:hint="eastAsia" w:ascii="Times New Roman" w:eastAsia="仿宋_GB2312"/>
          <w:lang w:val="en-US" w:eastAsia="zh-CN"/>
        </w:rPr>
        <w:t>十七</w:t>
      </w:r>
      <w:r>
        <w:rPr>
          <w:rFonts w:ascii="仿宋_GB2312" w:hAnsi="宋体" w:eastAsia="仿宋_GB2312" w:cs="宋体"/>
          <w:color w:val="auto"/>
          <w:sz w:val="32"/>
          <w:szCs w:val="32"/>
        </w:rPr>
        <w:t xml:space="preserve">条 </w:t>
      </w:r>
      <w:r>
        <w:rPr>
          <w:rFonts w:hint="eastAsia" w:ascii="仿宋_GB2312" w:hAnsi="宋体" w:eastAsia="仿宋_GB2312" w:cs="宋体"/>
          <w:color w:val="auto"/>
          <w:sz w:val="32"/>
          <w:szCs w:val="32"/>
          <w:lang w:val="en-US" w:eastAsia="zh-CN"/>
        </w:rPr>
        <w:t>服务站</w:t>
      </w:r>
      <w:r>
        <w:rPr>
          <w:rFonts w:hint="eastAsia" w:ascii="仿宋_GB2312" w:hAnsi="宋体" w:eastAsia="仿宋_GB2312" w:cs="宋体"/>
          <w:color w:val="auto"/>
          <w:sz w:val="32"/>
          <w:szCs w:val="32"/>
        </w:rPr>
        <w:t>实行动态管理，</w:t>
      </w:r>
      <w:r>
        <w:rPr>
          <w:rFonts w:hint="eastAsia" w:ascii="仿宋_GB2312" w:hAnsi="宋体" w:cs="宋体"/>
          <w:color w:val="auto"/>
          <w:sz w:val="32"/>
          <w:szCs w:val="32"/>
          <w:lang w:val="en-US" w:eastAsia="zh-CN"/>
        </w:rPr>
        <w:t>称号有效期为1年，由</w:t>
      </w:r>
      <w:r>
        <w:rPr>
          <w:rFonts w:ascii="仿宋_GB2312" w:hAnsi="宋体" w:eastAsia="仿宋_GB2312" w:cs="宋体"/>
          <w:color w:val="auto"/>
          <w:sz w:val="32"/>
          <w:szCs w:val="32"/>
        </w:rPr>
        <w:t>市经济和信息化局</w:t>
      </w:r>
      <w:r>
        <w:rPr>
          <w:rFonts w:ascii="仿宋_GB2312" w:hAnsi="宋体" w:cs="宋体"/>
          <w:color w:val="auto"/>
          <w:sz w:val="32"/>
          <w:szCs w:val="32"/>
        </w:rPr>
        <w:t>从服务企业交易所上市、全国股转系统挂牌、北京“专精特新”专板入板及优质企业梯度升级情况等方面，对服务站开展年度绩效评价。</w:t>
      </w:r>
    </w:p>
    <w:p w14:paraId="1FB84335">
      <w:pPr>
        <w:keepNext w:val="0"/>
        <w:keepLines w:val="0"/>
        <w:pageBreakBefore w:val="0"/>
        <w:widowControl/>
        <w:kinsoku/>
        <w:wordWrap/>
        <w:overflowPunct/>
        <w:topLinePunct w:val="0"/>
        <w:autoSpaceDE/>
        <w:autoSpaceDN/>
        <w:bidi w:val="0"/>
        <w:adjustRightInd/>
        <w:snapToGrid w:val="0"/>
        <w:spacing w:line="560" w:lineRule="exact"/>
        <w:ind w:firstLine="658"/>
        <w:outlineLvl w:val="1"/>
        <w:rPr>
          <w:rFonts w:hint="eastAsia" w:ascii="仿宋_GB2312" w:hAnsi="宋体" w:eastAsia="仿宋_GB2312" w:cs="宋体"/>
          <w:color w:val="auto"/>
          <w:sz w:val="32"/>
          <w:szCs w:val="32"/>
          <w:lang w:eastAsia="zh-CN"/>
        </w:rPr>
      </w:pPr>
      <w:r>
        <w:rPr>
          <w:rFonts w:ascii="仿宋_GB2312" w:hAnsi="宋体" w:eastAsia="仿宋_GB2312" w:cs="宋体"/>
          <w:color w:val="auto"/>
          <w:sz w:val="32"/>
          <w:szCs w:val="32"/>
        </w:rPr>
        <w:t>第</w:t>
      </w:r>
      <w:r>
        <w:rPr>
          <w:rFonts w:hint="eastAsia" w:ascii="Times New Roman" w:eastAsia="仿宋_GB2312"/>
          <w:lang w:val="en-US" w:eastAsia="zh-CN"/>
        </w:rPr>
        <w:t>十八</w:t>
      </w:r>
      <w:r>
        <w:rPr>
          <w:rFonts w:ascii="仿宋_GB2312" w:hAnsi="宋体" w:eastAsia="仿宋_GB2312" w:cs="宋体"/>
          <w:color w:val="auto"/>
          <w:sz w:val="32"/>
          <w:szCs w:val="32"/>
        </w:rPr>
        <w:t>条 各区中小企业主管部门对</w:t>
      </w:r>
      <w:r>
        <w:rPr>
          <w:rFonts w:hint="eastAsia" w:ascii="仿宋_GB2312" w:hAnsi="宋体" w:eastAsia="仿宋_GB2312" w:cs="宋体"/>
          <w:color w:val="auto"/>
          <w:sz w:val="32"/>
          <w:szCs w:val="32"/>
          <w:lang w:val="en-US" w:eastAsia="zh-CN"/>
        </w:rPr>
        <w:t>服务站</w:t>
      </w:r>
      <w:r>
        <w:rPr>
          <w:rFonts w:hint="eastAsia" w:hAnsi="宋体" w:cs="宋体"/>
          <w:color w:val="auto"/>
          <w:sz w:val="32"/>
          <w:szCs w:val="32"/>
          <w:lang w:val="en-US" w:eastAsia="zh-CN"/>
        </w:rPr>
        <w:t>的服务及</w:t>
      </w:r>
      <w:r>
        <w:rPr>
          <w:rFonts w:ascii="仿宋_GB2312" w:hAnsi="宋体" w:eastAsia="仿宋_GB2312" w:cs="宋体"/>
          <w:color w:val="auto"/>
          <w:sz w:val="32"/>
          <w:szCs w:val="32"/>
        </w:rPr>
        <w:t>目标</w:t>
      </w:r>
      <w:r>
        <w:rPr>
          <w:rFonts w:hint="eastAsia" w:hAnsi="宋体" w:cs="宋体"/>
          <w:color w:val="auto"/>
          <w:sz w:val="32"/>
          <w:szCs w:val="32"/>
          <w:lang w:val="en-US" w:eastAsia="zh-CN"/>
        </w:rPr>
        <w:t>完成情况进行</w:t>
      </w:r>
      <w:r>
        <w:rPr>
          <w:rFonts w:ascii="仿宋_GB2312" w:hAnsi="宋体" w:eastAsia="仿宋_GB2312" w:cs="宋体"/>
          <w:color w:val="auto"/>
          <w:sz w:val="32"/>
          <w:szCs w:val="32"/>
        </w:rPr>
        <w:t>跟踪</w:t>
      </w:r>
      <w:r>
        <w:rPr>
          <w:rFonts w:hint="eastAsia" w:hAnsi="宋体" w:cs="宋体"/>
          <w:color w:val="auto"/>
          <w:sz w:val="32"/>
          <w:szCs w:val="32"/>
          <w:lang w:eastAsia="zh-CN"/>
        </w:rPr>
        <w:t>。</w:t>
      </w:r>
      <w:r>
        <w:rPr>
          <w:rFonts w:hint="eastAsia" w:ascii="仿宋_GB2312" w:hAnsi="宋体" w:eastAsia="仿宋_GB2312" w:cs="宋体"/>
          <w:color w:val="auto"/>
          <w:sz w:val="32"/>
          <w:szCs w:val="32"/>
          <w:lang w:val="en-US" w:eastAsia="zh-CN"/>
        </w:rPr>
        <w:t>服务站</w:t>
      </w:r>
      <w:r>
        <w:rPr>
          <w:rFonts w:hint="eastAsia" w:hAnsi="宋体" w:cs="宋体"/>
          <w:color w:val="auto"/>
          <w:sz w:val="32"/>
          <w:szCs w:val="32"/>
          <w:lang w:val="en-US" w:eastAsia="zh-CN"/>
        </w:rPr>
        <w:t>按要求开展绩效自评工作，并将评价结果</w:t>
      </w:r>
      <w:r>
        <w:rPr>
          <w:rFonts w:ascii="仿宋_GB2312" w:hAnsi="宋体" w:eastAsia="仿宋_GB2312" w:cs="宋体"/>
          <w:color w:val="auto"/>
          <w:sz w:val="32"/>
          <w:szCs w:val="32"/>
        </w:rPr>
        <w:t>报至市经济和信息化局</w:t>
      </w:r>
      <w:r>
        <w:rPr>
          <w:rFonts w:hint="eastAsia" w:hAnsi="宋体" w:cs="宋体"/>
          <w:color w:val="auto"/>
          <w:sz w:val="32"/>
          <w:szCs w:val="32"/>
          <w:lang w:eastAsia="zh-CN"/>
        </w:rPr>
        <w:t>。</w:t>
      </w:r>
    </w:p>
    <w:p w14:paraId="51AFAAD4">
      <w:pPr>
        <w:keepNext w:val="0"/>
        <w:keepLines w:val="0"/>
        <w:pageBreakBefore w:val="0"/>
        <w:widowControl/>
        <w:kinsoku/>
        <w:wordWrap/>
        <w:overflowPunct/>
        <w:topLinePunct w:val="0"/>
        <w:autoSpaceDE/>
        <w:autoSpaceDN/>
        <w:bidi w:val="0"/>
        <w:adjustRightInd/>
        <w:snapToGrid w:val="0"/>
        <w:spacing w:line="560" w:lineRule="exact"/>
        <w:ind w:firstLine="658"/>
        <w:outlineLvl w:val="1"/>
        <w:rPr>
          <w:rFonts w:hint="eastAsia" w:ascii="仿宋_GB2312" w:hAnsi="宋体" w:eastAsia="仿宋_GB2312" w:cs="宋体"/>
          <w:color w:val="auto"/>
          <w:sz w:val="32"/>
          <w:szCs w:val="32"/>
          <w:lang w:val="en-US" w:eastAsia="zh-CN"/>
        </w:rPr>
      </w:pPr>
      <w:r>
        <w:rPr>
          <w:rFonts w:ascii="仿宋_GB2312" w:hAnsi="宋体" w:eastAsia="仿宋_GB2312" w:cs="宋体"/>
          <w:color w:val="auto"/>
          <w:sz w:val="32"/>
          <w:szCs w:val="32"/>
        </w:rPr>
        <w:t>第</w:t>
      </w:r>
      <w:r>
        <w:rPr>
          <w:rFonts w:hint="eastAsia" w:ascii="Times New Roman" w:eastAsia="仿宋_GB2312"/>
          <w:lang w:val="en-US" w:eastAsia="zh-CN"/>
        </w:rPr>
        <w:t>十九</w:t>
      </w:r>
      <w:r>
        <w:rPr>
          <w:rFonts w:ascii="仿宋_GB2312" w:hAnsi="宋体" w:eastAsia="仿宋_GB2312" w:cs="宋体"/>
          <w:color w:val="auto"/>
          <w:sz w:val="32"/>
          <w:szCs w:val="32"/>
        </w:rPr>
        <w:t>条 市经济和信息化局组织</w:t>
      </w:r>
      <w:r>
        <w:rPr>
          <w:rFonts w:hint="eastAsia" w:hAnsi="宋体" w:cs="宋体"/>
          <w:color w:val="auto"/>
          <w:sz w:val="32"/>
          <w:szCs w:val="32"/>
          <w:lang w:val="en-US" w:eastAsia="zh-CN"/>
        </w:rPr>
        <w:t>复核工作，</w:t>
      </w:r>
      <w:r>
        <w:rPr>
          <w:rFonts w:ascii="仿宋_GB2312" w:hAnsi="宋体" w:eastAsia="仿宋_GB2312" w:cs="宋体"/>
          <w:color w:val="auto"/>
          <w:sz w:val="32"/>
          <w:szCs w:val="32"/>
        </w:rPr>
        <w:t>绩效</w:t>
      </w:r>
      <w:r>
        <w:rPr>
          <w:rFonts w:hint="eastAsia" w:hAnsi="宋体" w:cs="宋体"/>
          <w:color w:val="auto"/>
          <w:sz w:val="32"/>
          <w:szCs w:val="32"/>
          <w:lang w:val="en-US" w:eastAsia="zh-CN"/>
        </w:rPr>
        <w:t>评价</w:t>
      </w:r>
      <w:r>
        <w:rPr>
          <w:rFonts w:ascii="仿宋_GB2312" w:hAnsi="宋体" w:eastAsia="仿宋_GB2312" w:cs="宋体"/>
          <w:color w:val="auto"/>
          <w:sz w:val="32"/>
          <w:szCs w:val="32"/>
        </w:rPr>
        <w:t>结果不合格的，撤销称号。</w:t>
      </w:r>
    </w:p>
    <w:p w14:paraId="2816B0BE">
      <w:pPr>
        <w:keepNext w:val="0"/>
        <w:keepLines w:val="0"/>
        <w:pageBreakBefore w:val="0"/>
        <w:widowControl/>
        <w:kinsoku/>
        <w:wordWrap/>
        <w:overflowPunct/>
        <w:topLinePunct w:val="0"/>
        <w:autoSpaceDE/>
        <w:autoSpaceDN/>
        <w:bidi w:val="0"/>
        <w:adjustRightInd/>
        <w:snapToGrid w:val="0"/>
        <w:spacing w:line="560" w:lineRule="exact"/>
        <w:ind w:firstLine="658"/>
        <w:outlineLvl w:val="1"/>
        <w:rPr>
          <w:rFonts w:hint="eastAsia" w:ascii="仿宋_GB2312" w:hAnsi="宋体" w:eastAsia="仿宋_GB2312" w:cs="宋体"/>
          <w:color w:val="auto"/>
          <w:sz w:val="32"/>
          <w:szCs w:val="32"/>
          <w:lang w:val="en-US" w:eastAsia="zh-CN"/>
        </w:rPr>
      </w:pPr>
      <w:r>
        <w:rPr>
          <w:rFonts w:ascii="仿宋_GB2312" w:hAnsi="宋体" w:eastAsia="仿宋_GB2312" w:cs="宋体"/>
          <w:color w:val="auto"/>
          <w:sz w:val="32"/>
          <w:szCs w:val="32"/>
        </w:rPr>
        <w:t>第</w:t>
      </w:r>
      <w:r>
        <w:rPr>
          <w:rFonts w:hint="eastAsia" w:hAnsi="宋体" w:cs="宋体"/>
          <w:color w:val="auto"/>
          <w:sz w:val="32"/>
          <w:szCs w:val="32"/>
          <w:lang w:val="en-US" w:eastAsia="zh-CN"/>
        </w:rPr>
        <w:t>二十</w:t>
      </w:r>
      <w:r>
        <w:rPr>
          <w:rFonts w:ascii="仿宋_GB2312" w:hAnsi="宋体" w:eastAsia="仿宋_GB2312" w:cs="宋体"/>
          <w:color w:val="auto"/>
          <w:sz w:val="32"/>
          <w:szCs w:val="32"/>
        </w:rPr>
        <w:t>条 有下列情况之一的，撤销已授予的</w:t>
      </w:r>
      <w:r>
        <w:rPr>
          <w:rFonts w:hint="eastAsia" w:ascii="仿宋_GB2312" w:hAnsi="宋体" w:eastAsia="仿宋_GB2312" w:cs="宋体"/>
          <w:color w:val="auto"/>
          <w:sz w:val="32"/>
          <w:szCs w:val="32"/>
          <w:lang w:val="en-US" w:eastAsia="zh-CN"/>
        </w:rPr>
        <w:t>服务站</w:t>
      </w:r>
      <w:r>
        <w:rPr>
          <w:rFonts w:ascii="仿宋_GB2312" w:hAnsi="宋体" w:eastAsia="仿宋_GB2312" w:cs="宋体"/>
          <w:color w:val="auto"/>
          <w:sz w:val="32"/>
          <w:szCs w:val="32"/>
        </w:rPr>
        <w:t>称号：</w:t>
      </w:r>
    </w:p>
    <w:p w14:paraId="587EBF62">
      <w:pPr>
        <w:keepNext w:val="0"/>
        <w:keepLines w:val="0"/>
        <w:pageBreakBefore w:val="0"/>
        <w:widowControl/>
        <w:kinsoku/>
        <w:wordWrap/>
        <w:overflowPunct/>
        <w:topLinePunct w:val="0"/>
        <w:autoSpaceDE/>
        <w:autoSpaceDN/>
        <w:bidi w:val="0"/>
        <w:adjustRightInd/>
        <w:snapToGrid w:val="0"/>
        <w:spacing w:line="560" w:lineRule="exact"/>
        <w:ind w:firstLine="658"/>
        <w:outlineLvl w:val="9"/>
        <w:rPr>
          <w:rFonts w:ascii="仿宋_GB2312" w:hAnsi="宋体" w:eastAsia="仿宋_GB2312" w:cs="宋体"/>
          <w:color w:val="auto"/>
          <w:sz w:val="32"/>
          <w:szCs w:val="32"/>
        </w:rPr>
      </w:pPr>
      <w:r>
        <w:rPr>
          <w:rFonts w:ascii="仿宋_GB2312" w:hAnsi="宋体" w:eastAsia="仿宋_GB2312" w:cs="宋体"/>
          <w:color w:val="auto"/>
          <w:sz w:val="32"/>
          <w:szCs w:val="32"/>
        </w:rPr>
        <w:t>（一）未按要求参加</w:t>
      </w:r>
      <w:r>
        <w:rPr>
          <w:rFonts w:hint="eastAsia" w:ascii="仿宋_GB2312" w:hAnsi="宋体" w:cs="宋体"/>
          <w:color w:val="auto"/>
          <w:sz w:val="32"/>
          <w:szCs w:val="32"/>
          <w:lang w:val="en-US" w:eastAsia="zh-CN"/>
        </w:rPr>
        <w:t>年度</w:t>
      </w:r>
      <w:r>
        <w:rPr>
          <w:rFonts w:hint="eastAsia" w:ascii="仿宋_GB2312" w:hAnsi="宋体" w:eastAsia="仿宋_GB2312" w:cs="宋体"/>
          <w:color w:val="auto"/>
          <w:sz w:val="32"/>
          <w:szCs w:val="32"/>
          <w:lang w:val="en-US" w:eastAsia="zh-CN"/>
        </w:rPr>
        <w:t>绩效</w:t>
      </w:r>
      <w:r>
        <w:rPr>
          <w:rFonts w:hint="eastAsia" w:ascii="仿宋_GB2312" w:hAnsi="宋体" w:cs="宋体"/>
          <w:color w:val="auto"/>
          <w:sz w:val="32"/>
          <w:szCs w:val="32"/>
          <w:lang w:val="en-US" w:eastAsia="zh-CN"/>
        </w:rPr>
        <w:t>评价</w:t>
      </w:r>
      <w:r>
        <w:rPr>
          <w:rFonts w:hint="eastAsia" w:ascii="仿宋_GB2312" w:hAnsi="宋体" w:eastAsia="仿宋_GB2312" w:cs="宋体"/>
          <w:color w:val="auto"/>
          <w:sz w:val="32"/>
          <w:szCs w:val="32"/>
          <w:lang w:val="en-US" w:eastAsia="zh-CN"/>
        </w:rPr>
        <w:t>；</w:t>
      </w:r>
    </w:p>
    <w:p w14:paraId="26524D25">
      <w:pPr>
        <w:keepNext w:val="0"/>
        <w:keepLines w:val="0"/>
        <w:pageBreakBefore w:val="0"/>
        <w:widowControl/>
        <w:kinsoku/>
        <w:wordWrap/>
        <w:overflowPunct/>
        <w:topLinePunct w:val="0"/>
        <w:autoSpaceDE/>
        <w:autoSpaceDN/>
        <w:bidi w:val="0"/>
        <w:adjustRightInd/>
        <w:snapToGrid w:val="0"/>
        <w:spacing w:line="560" w:lineRule="exact"/>
        <w:ind w:firstLine="658"/>
        <w:outlineLvl w:val="9"/>
        <w:rPr>
          <w:rFonts w:hint="default" w:ascii="仿宋_GB2312" w:hAnsi="宋体" w:eastAsia="仿宋_GB2312" w:cs="宋体"/>
          <w:color w:val="auto"/>
          <w:sz w:val="32"/>
          <w:szCs w:val="32"/>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二</w:t>
      </w:r>
      <w:r>
        <w:rPr>
          <w:rFonts w:hint="eastAsia" w:ascii="仿宋_GB2312" w:hAnsi="宋体" w:eastAsia="仿宋_GB2312" w:cs="宋体"/>
          <w:color w:val="auto"/>
          <w:sz w:val="32"/>
          <w:szCs w:val="32"/>
          <w:lang w:eastAsia="zh-CN"/>
        </w:rPr>
        <w:t>）</w:t>
      </w:r>
      <w:r>
        <w:rPr>
          <w:rFonts w:ascii="仿宋_GB2312" w:hAnsi="宋体" w:eastAsia="仿宋_GB2312" w:cs="宋体"/>
          <w:color w:val="auto"/>
          <w:sz w:val="32"/>
          <w:szCs w:val="32"/>
        </w:rPr>
        <w:t>在</w:t>
      </w:r>
      <w:r>
        <w:rPr>
          <w:rFonts w:ascii="仿宋_GB2312" w:hAnsi="宋体" w:cs="宋体"/>
          <w:color w:val="auto"/>
          <w:sz w:val="32"/>
          <w:szCs w:val="32"/>
        </w:rPr>
        <w:t>申报</w:t>
      </w:r>
      <w:r>
        <w:rPr>
          <w:rFonts w:ascii="仿宋_GB2312" w:hAnsi="宋体" w:eastAsia="仿宋_GB2312" w:cs="宋体"/>
          <w:color w:val="auto"/>
          <w:sz w:val="32"/>
          <w:szCs w:val="32"/>
        </w:rPr>
        <w:t>和绩效评价中提供虚假材料和数据；</w:t>
      </w:r>
    </w:p>
    <w:p w14:paraId="6DF15B00">
      <w:pPr>
        <w:keepNext w:val="0"/>
        <w:keepLines w:val="0"/>
        <w:pageBreakBefore w:val="0"/>
        <w:widowControl/>
        <w:kinsoku/>
        <w:wordWrap/>
        <w:overflowPunct/>
        <w:topLinePunct w:val="0"/>
        <w:autoSpaceDE/>
        <w:autoSpaceDN/>
        <w:bidi w:val="0"/>
        <w:adjustRightInd/>
        <w:snapToGrid w:val="0"/>
        <w:spacing w:line="560" w:lineRule="exact"/>
        <w:ind w:firstLine="658"/>
        <w:outlineLvl w:val="9"/>
        <w:rPr>
          <w:rFonts w:ascii="仿宋_GB2312" w:hAnsi="宋体" w:eastAsia="仿宋_GB2312" w:cs="宋体"/>
          <w:color w:val="auto"/>
          <w:sz w:val="32"/>
          <w:szCs w:val="32"/>
        </w:rPr>
      </w:pPr>
      <w:r>
        <w:rPr>
          <w:rFonts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三</w:t>
      </w:r>
      <w:r>
        <w:rPr>
          <w:rFonts w:ascii="仿宋_GB2312" w:hAnsi="宋体" w:eastAsia="仿宋_GB2312" w:cs="宋体"/>
          <w:color w:val="auto"/>
          <w:sz w:val="32"/>
          <w:szCs w:val="32"/>
        </w:rPr>
        <w:t>）单位或法定代表人违反有关法律法规</w:t>
      </w:r>
      <w:r>
        <w:rPr>
          <w:rFonts w:hint="eastAsia" w:ascii="仿宋_GB2312" w:hAnsi="宋体" w:cs="宋体"/>
          <w:color w:val="auto"/>
          <w:sz w:val="32"/>
          <w:szCs w:val="32"/>
          <w:lang w:eastAsia="zh-CN"/>
        </w:rPr>
        <w:t>，</w:t>
      </w:r>
      <w:r>
        <w:rPr>
          <w:rFonts w:hint="eastAsia" w:ascii="仿宋_GB2312" w:hAnsi="宋体" w:eastAsia="仿宋_GB2312" w:cs="宋体"/>
          <w:color w:val="auto"/>
          <w:sz w:val="32"/>
          <w:szCs w:val="32"/>
        </w:rPr>
        <w:t>法定代表人受到刑事处罚，单位受到停产停业、吊销证照等行政处罚</w:t>
      </w:r>
      <w:r>
        <w:rPr>
          <w:rFonts w:ascii="仿宋_GB2312" w:hAnsi="宋体" w:eastAsia="仿宋_GB2312" w:cs="宋体"/>
          <w:color w:val="auto"/>
          <w:sz w:val="32"/>
          <w:szCs w:val="32"/>
        </w:rPr>
        <w:t>；</w:t>
      </w:r>
    </w:p>
    <w:p w14:paraId="7525179A">
      <w:pPr>
        <w:keepNext w:val="0"/>
        <w:keepLines w:val="0"/>
        <w:pageBreakBefore w:val="0"/>
        <w:widowControl/>
        <w:kinsoku/>
        <w:wordWrap/>
        <w:overflowPunct/>
        <w:topLinePunct w:val="0"/>
        <w:autoSpaceDE/>
        <w:autoSpaceDN/>
        <w:bidi w:val="0"/>
        <w:adjustRightInd/>
        <w:snapToGrid w:val="0"/>
        <w:spacing w:line="560" w:lineRule="exact"/>
        <w:ind w:firstLine="658"/>
        <w:outlineLvl w:val="9"/>
        <w:rPr>
          <w:rFonts w:hint="default" w:ascii="仿宋_GB2312" w:hAnsi="宋体" w:eastAsia="仿宋_GB2312" w:cs="宋体"/>
          <w:color w:val="auto"/>
          <w:sz w:val="32"/>
          <w:szCs w:val="32"/>
        </w:rPr>
      </w:pPr>
      <w:r>
        <w:rPr>
          <w:rFonts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四</w:t>
      </w:r>
      <w:r>
        <w:rPr>
          <w:rFonts w:ascii="仿宋_GB2312" w:hAnsi="宋体" w:eastAsia="仿宋_GB2312" w:cs="宋体"/>
          <w:color w:val="auto"/>
          <w:sz w:val="32"/>
          <w:szCs w:val="32"/>
        </w:rPr>
        <w:t>）单位或法定代表人存在</w:t>
      </w:r>
      <w:r>
        <w:rPr>
          <w:rFonts w:hint="default" w:ascii="仿宋_GB2312" w:hAnsi="宋体" w:eastAsia="仿宋_GB2312" w:cs="宋体"/>
          <w:color w:val="auto"/>
          <w:sz w:val="32"/>
          <w:szCs w:val="32"/>
        </w:rPr>
        <w:t>严重失信行为</w:t>
      </w:r>
      <w:r>
        <w:rPr>
          <w:rFonts w:hint="eastAsia" w:ascii="仿宋_GB2312" w:hAnsi="宋体" w:cs="宋体"/>
          <w:color w:val="auto"/>
          <w:sz w:val="32"/>
          <w:szCs w:val="32"/>
          <w:lang w:eastAsia="zh-CN"/>
        </w:rPr>
        <w:t>；</w:t>
      </w:r>
    </w:p>
    <w:p w14:paraId="1E629D19">
      <w:pPr>
        <w:keepNext w:val="0"/>
        <w:keepLines w:val="0"/>
        <w:pageBreakBefore w:val="0"/>
        <w:kinsoku/>
        <w:wordWrap/>
        <w:overflowPunct/>
        <w:topLinePunct w:val="0"/>
        <w:autoSpaceDE/>
        <w:autoSpaceDN/>
        <w:bidi w:val="0"/>
        <w:adjustRightInd/>
        <w:spacing w:line="560" w:lineRule="exact"/>
        <w:rPr>
          <w:rFonts w:hint="default" w:ascii="仿宋_GB2312" w:hAnsi="宋体" w:eastAsia="仿宋_GB2312" w:cs="宋体"/>
          <w:color w:val="auto"/>
          <w:sz w:val="32"/>
          <w:szCs w:val="32"/>
          <w:lang w:val="en-US" w:eastAsia="zh-CN"/>
        </w:rPr>
      </w:pPr>
      <w:r>
        <w:rPr>
          <w:rFonts w:hint="eastAsia" w:ascii="仿宋_GB2312" w:hAnsi="宋体" w:cs="宋体"/>
          <w:color w:val="auto"/>
          <w:sz w:val="32"/>
          <w:szCs w:val="32"/>
          <w:lang w:eastAsia="zh-CN"/>
        </w:rPr>
        <w:t>（</w:t>
      </w:r>
      <w:r>
        <w:rPr>
          <w:rFonts w:hint="eastAsia" w:ascii="仿宋_GB2312" w:hAnsi="宋体" w:cs="宋体"/>
          <w:color w:val="auto"/>
          <w:sz w:val="32"/>
          <w:szCs w:val="32"/>
          <w:lang w:val="en-US" w:eastAsia="zh-CN"/>
        </w:rPr>
        <w:t>五</w:t>
      </w:r>
      <w:r>
        <w:rPr>
          <w:rFonts w:hint="eastAsia" w:ascii="仿宋_GB2312" w:hAnsi="宋体" w:cs="宋体"/>
          <w:color w:val="auto"/>
          <w:sz w:val="32"/>
          <w:szCs w:val="32"/>
          <w:lang w:eastAsia="zh-CN"/>
        </w:rPr>
        <w:t>）</w:t>
      </w:r>
      <w:r>
        <w:rPr>
          <w:rFonts w:hint="eastAsia" w:ascii="仿宋_GB2312" w:hAnsi="宋体" w:cs="宋体"/>
          <w:color w:val="auto"/>
          <w:sz w:val="32"/>
          <w:szCs w:val="32"/>
          <w:lang w:val="en-US" w:eastAsia="zh-CN"/>
        </w:rPr>
        <w:t>其他不符合要求的情况。</w:t>
      </w:r>
    </w:p>
    <w:p w14:paraId="010874EE">
      <w:pPr>
        <w:keepNext w:val="0"/>
        <w:keepLines w:val="0"/>
        <w:pageBreakBefore w:val="0"/>
        <w:kinsoku/>
        <w:wordWrap/>
        <w:overflowPunct/>
        <w:topLinePunct w:val="0"/>
        <w:autoSpaceDE/>
        <w:autoSpaceDN/>
        <w:bidi w:val="0"/>
        <w:adjustRightInd/>
        <w:spacing w:line="560" w:lineRule="exact"/>
        <w:rPr>
          <w:rFonts w:hint="eastAsia" w:ascii="仿宋_GB2312" w:hAnsi="宋体" w:eastAsia="仿宋_GB2312" w:cs="宋体"/>
          <w:color w:val="auto"/>
          <w:kern w:val="2"/>
          <w:sz w:val="32"/>
          <w:szCs w:val="32"/>
          <w:lang w:val="en-US" w:eastAsia="zh-CN" w:bidi="ar-SA"/>
        </w:rPr>
      </w:pPr>
      <w:r>
        <w:rPr>
          <w:rFonts w:ascii="仿宋_GB2312" w:hAnsi="宋体" w:eastAsia="仿宋_GB2312" w:cs="宋体"/>
          <w:color w:val="auto"/>
          <w:sz w:val="32"/>
          <w:szCs w:val="32"/>
        </w:rPr>
        <w:t>第</w:t>
      </w:r>
      <w:r>
        <w:rPr>
          <w:rFonts w:hint="eastAsia" w:hAnsi="宋体" w:cs="宋体"/>
          <w:color w:val="auto"/>
          <w:sz w:val="32"/>
          <w:szCs w:val="32"/>
          <w:lang w:val="en-US" w:eastAsia="zh-CN"/>
        </w:rPr>
        <w:t>二十一</w:t>
      </w:r>
      <w:r>
        <w:rPr>
          <w:rFonts w:ascii="仿宋_GB2312" w:hAnsi="宋体" w:eastAsia="仿宋_GB2312" w:cs="宋体"/>
          <w:color w:val="auto"/>
          <w:sz w:val="32"/>
          <w:szCs w:val="32"/>
        </w:rPr>
        <w:t xml:space="preserve">条 </w:t>
      </w:r>
      <w:r>
        <w:rPr>
          <w:rFonts w:hint="eastAsia" w:hAnsi="宋体" w:cs="宋体"/>
          <w:color w:val="auto"/>
          <w:sz w:val="32"/>
          <w:szCs w:val="32"/>
          <w:lang w:val="en-US" w:eastAsia="zh-CN"/>
        </w:rPr>
        <w:t>服务站</w:t>
      </w:r>
      <w:r>
        <w:rPr>
          <w:rFonts w:ascii="仿宋_GB2312" w:hAnsi="宋体" w:eastAsia="仿宋_GB2312" w:cs="宋体"/>
          <w:color w:val="auto"/>
          <w:sz w:val="32"/>
          <w:szCs w:val="32"/>
        </w:rPr>
        <w:t>遇有名称、地址、主营业务等重大变更</w:t>
      </w:r>
      <w:r>
        <w:rPr>
          <w:rFonts w:hint="default" w:ascii="仿宋_GB2312" w:hAnsi="宋体" w:eastAsia="仿宋_GB2312" w:cs="宋体"/>
          <w:color w:val="auto"/>
          <w:kern w:val="2"/>
          <w:sz w:val="32"/>
          <w:szCs w:val="32"/>
          <w:lang w:val="en-US" w:eastAsia="zh-CN" w:bidi="ar-SA"/>
        </w:rPr>
        <w:t>事项的，应在发生变更后30个工作日内报</w:t>
      </w:r>
      <w:r>
        <w:rPr>
          <w:rFonts w:hint="eastAsia" w:ascii="仿宋_GB2312" w:hAnsi="宋体" w:eastAsia="仿宋_GB2312" w:cs="宋体"/>
          <w:color w:val="auto"/>
          <w:kern w:val="2"/>
          <w:sz w:val="32"/>
          <w:szCs w:val="32"/>
          <w:lang w:val="en-US" w:eastAsia="zh-CN" w:bidi="ar-SA"/>
        </w:rPr>
        <w:t>区中小企业主管部门，</w:t>
      </w:r>
      <w:r>
        <w:rPr>
          <w:rFonts w:hint="eastAsia" w:hAnsi="宋体" w:cs="宋体"/>
          <w:color w:val="auto"/>
          <w:kern w:val="2"/>
          <w:sz w:val="32"/>
          <w:szCs w:val="32"/>
          <w:lang w:val="en-US" w:eastAsia="zh-CN" w:bidi="ar-SA"/>
        </w:rPr>
        <w:t>核实后</w:t>
      </w:r>
      <w:r>
        <w:rPr>
          <w:rFonts w:hint="eastAsia" w:ascii="仿宋_GB2312" w:hAnsi="宋体" w:eastAsia="仿宋_GB2312" w:cs="宋体"/>
          <w:color w:val="auto"/>
          <w:kern w:val="2"/>
          <w:sz w:val="32"/>
          <w:szCs w:val="32"/>
          <w:lang w:val="en-US" w:eastAsia="zh-CN" w:bidi="ar-SA"/>
        </w:rPr>
        <w:t>报送至</w:t>
      </w:r>
      <w:r>
        <w:rPr>
          <w:rFonts w:hint="default" w:ascii="仿宋_GB2312" w:hAnsi="宋体" w:eastAsia="仿宋_GB2312" w:cs="宋体"/>
          <w:color w:val="auto"/>
          <w:kern w:val="2"/>
          <w:sz w:val="32"/>
          <w:szCs w:val="32"/>
          <w:lang w:val="en-US" w:eastAsia="zh-CN" w:bidi="ar-SA"/>
        </w:rPr>
        <w:t>市经济和信息化局，市经济和信息化局视情况作出</w:t>
      </w:r>
      <w:r>
        <w:rPr>
          <w:rFonts w:hint="eastAsia" w:ascii="仿宋_GB2312" w:hAnsi="宋体" w:eastAsia="仿宋_GB2312" w:cs="宋体"/>
          <w:color w:val="auto"/>
          <w:kern w:val="2"/>
          <w:sz w:val="32"/>
          <w:szCs w:val="32"/>
          <w:lang w:val="en-US" w:eastAsia="zh-CN" w:bidi="ar-SA"/>
        </w:rPr>
        <w:t>服务站</w:t>
      </w:r>
      <w:r>
        <w:rPr>
          <w:rFonts w:hint="default" w:ascii="仿宋_GB2312" w:hAnsi="宋体" w:eastAsia="仿宋_GB2312" w:cs="宋体"/>
          <w:color w:val="auto"/>
          <w:kern w:val="2"/>
          <w:sz w:val="32"/>
          <w:szCs w:val="32"/>
          <w:lang w:val="en-US" w:eastAsia="zh-CN" w:bidi="ar-SA"/>
        </w:rPr>
        <w:t>变更或撤销的处理决定。</w:t>
      </w:r>
    </w:p>
    <w:p w14:paraId="671517EF">
      <w:pPr>
        <w:keepNext w:val="0"/>
        <w:keepLines w:val="0"/>
        <w:pageBreakBefore w:val="0"/>
        <w:widowControl w:val="0"/>
        <w:kinsoku/>
        <w:wordWrap/>
        <w:overflowPunct/>
        <w:topLinePunct w:val="0"/>
        <w:autoSpaceDE/>
        <w:autoSpaceDN/>
        <w:bidi w:val="0"/>
        <w:adjustRightInd/>
        <w:snapToGrid/>
        <w:spacing w:before="313" w:beforeLines="100" w:after="157" w:afterLines="50" w:line="560" w:lineRule="exact"/>
        <w:ind w:left="0" w:leftChars="0" w:firstLine="0" w:firstLineChars="0"/>
        <w:jc w:val="center"/>
        <w:textAlignment w:val="auto"/>
        <w:outlineLvl w:val="0"/>
        <w:rPr>
          <w:rFonts w:hint="eastAsia" w:ascii="黑体" w:hAnsi="黑体" w:eastAsia="黑体" w:cs="黑体"/>
          <w:lang w:val="en-US" w:eastAsia="zh-CN"/>
        </w:rPr>
      </w:pPr>
      <w:r>
        <w:rPr>
          <w:rFonts w:hint="eastAsia" w:ascii="黑体" w:hAnsi="黑体" w:eastAsia="黑体" w:cs="黑体"/>
          <w:lang w:val="en-US" w:eastAsia="zh-CN"/>
        </w:rPr>
        <w:t>第六章  附则</w:t>
      </w:r>
    </w:p>
    <w:p w14:paraId="52BBDFE8">
      <w:pPr>
        <w:keepNext w:val="0"/>
        <w:keepLines w:val="0"/>
        <w:pageBreakBefore w:val="0"/>
        <w:kinsoku/>
        <w:wordWrap/>
        <w:overflowPunct/>
        <w:topLinePunct w:val="0"/>
        <w:autoSpaceDE/>
        <w:autoSpaceDN/>
        <w:bidi w:val="0"/>
        <w:adjustRightInd/>
        <w:spacing w:line="560" w:lineRule="exact"/>
        <w:outlineLvl w:val="1"/>
        <w:rPr>
          <w:rFonts w:hint="default"/>
          <w:lang w:val="en-US" w:eastAsia="zh-CN"/>
        </w:rPr>
      </w:pPr>
      <w:r>
        <w:rPr>
          <w:rFonts w:hint="eastAsia" w:ascii="Times New Roman" w:eastAsia="仿宋_GB2312"/>
          <w:lang w:val="en-US" w:eastAsia="zh-CN"/>
        </w:rPr>
        <w:t>第二十二条 本办法自发布之日起施行。</w:t>
      </w:r>
    </w:p>
    <w:p w14:paraId="49D62AD6">
      <w:pPr>
        <w:keepNext w:val="0"/>
        <w:keepLines w:val="0"/>
        <w:pageBreakBefore w:val="0"/>
        <w:kinsoku/>
        <w:wordWrap/>
        <w:overflowPunct/>
        <w:topLinePunct w:val="0"/>
        <w:autoSpaceDE/>
        <w:autoSpaceDN/>
        <w:bidi w:val="0"/>
        <w:adjustRightInd/>
        <w:spacing w:line="560" w:lineRule="exact"/>
        <w:outlineLvl w:val="1"/>
      </w:pPr>
      <w:r>
        <w:rPr>
          <w:rFonts w:hint="eastAsia" w:ascii="Times New Roman" w:eastAsia="仿宋_GB2312"/>
          <w:lang w:val="en-US" w:eastAsia="zh-CN"/>
        </w:rPr>
        <w:t>第二十三条 本办法由市经济和信息化局负责解释。</w:t>
      </w:r>
    </w:p>
    <w:p w14:paraId="4070E13E">
      <w:pPr>
        <w:keepNext w:val="0"/>
        <w:keepLines w:val="0"/>
        <w:pageBreakBefore w:val="0"/>
        <w:widowControl w:val="0"/>
        <w:kinsoku/>
        <w:overflowPunct/>
        <w:topLinePunct w:val="0"/>
        <w:autoSpaceDE/>
        <w:autoSpaceDN/>
        <w:bidi w:val="0"/>
        <w:adjustRightInd/>
        <w:snapToGrid/>
        <w:ind w:left="0" w:leftChars="0" w:firstLine="0" w:firstLineChars="0"/>
        <w:textAlignment w:val="auto"/>
        <w:rPr>
          <w:rFonts w:hint="default"/>
          <w:lang w:val="en-US" w:eastAsia="zh-CN"/>
        </w:rPr>
      </w:pPr>
    </w:p>
    <w:sectPr>
      <w:footerReference r:id="rId5" w:type="default"/>
      <w:footerReference r:id="rId6" w:type="even"/>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D6CC98-992C-4712-AFED-D3BB85332A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61A6476-2B6A-4156-810E-7967BB2A2A95}"/>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85483B8F-9A93-4D58-AF3C-6BA5F6D78218}"/>
  </w:font>
  <w:font w:name="微软雅黑">
    <w:panose1 w:val="020B0503020204020204"/>
    <w:charset w:val="86"/>
    <w:family w:val="auto"/>
    <w:pitch w:val="default"/>
    <w:sig w:usb0="80000287" w:usb1="2ACF3C50" w:usb2="00000016" w:usb3="00000000" w:csb0="0004001F" w:csb1="00000000"/>
    <w:embedRegular r:id="rId4" w:fontKey="{55B8DB19-224D-4DBD-83ED-4FCBA00333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B2D40">
    <w:pPr>
      <w:pStyle w:val="7"/>
      <w:jc w:val="both"/>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B5E9E">
                          <w:pPr>
                            <w:pStyle w:val="7"/>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5B5E9E">
                    <w:pPr>
                      <w:pStyle w:val="7"/>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C700">
    <w:pPr>
      <w:pStyle w:val="7"/>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8092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F80927">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1BA43"/>
    <w:multiLevelType w:val="singleLevel"/>
    <w:tmpl w:val="9201BA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MDk4M2VmMTM5MjVmMWY2ZjczYjM1NmFiNjlkY2YifQ=="/>
  </w:docVars>
  <w:rsids>
    <w:rsidRoot w:val="00000000"/>
    <w:rsid w:val="007C2CDB"/>
    <w:rsid w:val="011B0308"/>
    <w:rsid w:val="016F7E96"/>
    <w:rsid w:val="0240102B"/>
    <w:rsid w:val="025B2DC4"/>
    <w:rsid w:val="02B867DB"/>
    <w:rsid w:val="02E84657"/>
    <w:rsid w:val="02F565B5"/>
    <w:rsid w:val="03800D34"/>
    <w:rsid w:val="046A11E9"/>
    <w:rsid w:val="05D43F06"/>
    <w:rsid w:val="05F44D83"/>
    <w:rsid w:val="05FA6A71"/>
    <w:rsid w:val="062D6DF6"/>
    <w:rsid w:val="07CC279A"/>
    <w:rsid w:val="09D8354C"/>
    <w:rsid w:val="0A40121D"/>
    <w:rsid w:val="0A4E4EBE"/>
    <w:rsid w:val="0A6B09D7"/>
    <w:rsid w:val="0A8C52F7"/>
    <w:rsid w:val="0A9738CD"/>
    <w:rsid w:val="0B114967"/>
    <w:rsid w:val="0B546AEA"/>
    <w:rsid w:val="0B83124B"/>
    <w:rsid w:val="0CCC6D98"/>
    <w:rsid w:val="0D2210AE"/>
    <w:rsid w:val="0D562B05"/>
    <w:rsid w:val="0D921D8F"/>
    <w:rsid w:val="0D935B07"/>
    <w:rsid w:val="0D9E417E"/>
    <w:rsid w:val="0DB91623"/>
    <w:rsid w:val="0DC91529"/>
    <w:rsid w:val="0DD00B0A"/>
    <w:rsid w:val="0E440BB0"/>
    <w:rsid w:val="0E790B43"/>
    <w:rsid w:val="0EA729D7"/>
    <w:rsid w:val="0F3155D8"/>
    <w:rsid w:val="0F3614EE"/>
    <w:rsid w:val="0FA364D6"/>
    <w:rsid w:val="0FBA7CE2"/>
    <w:rsid w:val="10675755"/>
    <w:rsid w:val="10E95C52"/>
    <w:rsid w:val="11205904"/>
    <w:rsid w:val="11A93311"/>
    <w:rsid w:val="11B44E8A"/>
    <w:rsid w:val="122338FE"/>
    <w:rsid w:val="126204DD"/>
    <w:rsid w:val="129A3B1C"/>
    <w:rsid w:val="12BC340B"/>
    <w:rsid w:val="12E869E7"/>
    <w:rsid w:val="133A43BF"/>
    <w:rsid w:val="13904FC3"/>
    <w:rsid w:val="142851FC"/>
    <w:rsid w:val="143C600D"/>
    <w:rsid w:val="14EF291E"/>
    <w:rsid w:val="152F5F1F"/>
    <w:rsid w:val="16422767"/>
    <w:rsid w:val="166D339A"/>
    <w:rsid w:val="16705666"/>
    <w:rsid w:val="172312F9"/>
    <w:rsid w:val="17326391"/>
    <w:rsid w:val="177B5C49"/>
    <w:rsid w:val="177E7C22"/>
    <w:rsid w:val="18131D1F"/>
    <w:rsid w:val="18434C78"/>
    <w:rsid w:val="187A31B3"/>
    <w:rsid w:val="188D1AD1"/>
    <w:rsid w:val="18C41FB0"/>
    <w:rsid w:val="1953100E"/>
    <w:rsid w:val="19801636"/>
    <w:rsid w:val="19F61FBD"/>
    <w:rsid w:val="1A91517D"/>
    <w:rsid w:val="1AD7331A"/>
    <w:rsid w:val="1AFA3405"/>
    <w:rsid w:val="1B513ADA"/>
    <w:rsid w:val="1C3C795D"/>
    <w:rsid w:val="1C4835BD"/>
    <w:rsid w:val="1C56667E"/>
    <w:rsid w:val="1CB7757A"/>
    <w:rsid w:val="1CE1063D"/>
    <w:rsid w:val="1CE80922"/>
    <w:rsid w:val="1CE905B8"/>
    <w:rsid w:val="1CF32369"/>
    <w:rsid w:val="1CFC4DD4"/>
    <w:rsid w:val="1D096189"/>
    <w:rsid w:val="1D5B24D2"/>
    <w:rsid w:val="1DCD2970"/>
    <w:rsid w:val="1E6C06C6"/>
    <w:rsid w:val="1EC41FC5"/>
    <w:rsid w:val="1F88077C"/>
    <w:rsid w:val="20120B0E"/>
    <w:rsid w:val="20655503"/>
    <w:rsid w:val="20A53730"/>
    <w:rsid w:val="20DD111C"/>
    <w:rsid w:val="21DD1373"/>
    <w:rsid w:val="22744F51"/>
    <w:rsid w:val="227B1CE9"/>
    <w:rsid w:val="24466FD8"/>
    <w:rsid w:val="2447472E"/>
    <w:rsid w:val="245925FC"/>
    <w:rsid w:val="24F5112A"/>
    <w:rsid w:val="250F24A8"/>
    <w:rsid w:val="25925142"/>
    <w:rsid w:val="25AE0F03"/>
    <w:rsid w:val="25ED266F"/>
    <w:rsid w:val="26FD2336"/>
    <w:rsid w:val="275A34C6"/>
    <w:rsid w:val="27616AF6"/>
    <w:rsid w:val="278B57CE"/>
    <w:rsid w:val="29A00293"/>
    <w:rsid w:val="29A9541B"/>
    <w:rsid w:val="2A7D1B59"/>
    <w:rsid w:val="2A8C011F"/>
    <w:rsid w:val="2ACF3B6C"/>
    <w:rsid w:val="2B353B71"/>
    <w:rsid w:val="2B8A1B56"/>
    <w:rsid w:val="2B8B3F52"/>
    <w:rsid w:val="2BCC5731"/>
    <w:rsid w:val="2C4B162F"/>
    <w:rsid w:val="2C5F5ECC"/>
    <w:rsid w:val="2C78464A"/>
    <w:rsid w:val="2CCB451E"/>
    <w:rsid w:val="2CEA0D74"/>
    <w:rsid w:val="2D53739F"/>
    <w:rsid w:val="2E8F1CA4"/>
    <w:rsid w:val="2EA14E2F"/>
    <w:rsid w:val="2EDB0A6C"/>
    <w:rsid w:val="2F4D3614"/>
    <w:rsid w:val="2F6173BC"/>
    <w:rsid w:val="2FAD43AF"/>
    <w:rsid w:val="2FBC2844"/>
    <w:rsid w:val="30607673"/>
    <w:rsid w:val="31215055"/>
    <w:rsid w:val="315216B2"/>
    <w:rsid w:val="31724552"/>
    <w:rsid w:val="31AB2B70"/>
    <w:rsid w:val="32346CF6"/>
    <w:rsid w:val="32452FC5"/>
    <w:rsid w:val="33174961"/>
    <w:rsid w:val="33185FA0"/>
    <w:rsid w:val="331E0F9D"/>
    <w:rsid w:val="33686F6B"/>
    <w:rsid w:val="338F39E0"/>
    <w:rsid w:val="33CF2B46"/>
    <w:rsid w:val="33F16491"/>
    <w:rsid w:val="34E10117"/>
    <w:rsid w:val="353335A8"/>
    <w:rsid w:val="35DE52C2"/>
    <w:rsid w:val="37342795"/>
    <w:rsid w:val="3795053A"/>
    <w:rsid w:val="37F7266B"/>
    <w:rsid w:val="3814321D"/>
    <w:rsid w:val="38312021"/>
    <w:rsid w:val="3870241E"/>
    <w:rsid w:val="387305DE"/>
    <w:rsid w:val="38892684"/>
    <w:rsid w:val="38966328"/>
    <w:rsid w:val="38C47BC5"/>
    <w:rsid w:val="3AF45588"/>
    <w:rsid w:val="3B1D5414"/>
    <w:rsid w:val="3B8C6111"/>
    <w:rsid w:val="3C556BED"/>
    <w:rsid w:val="3C643D9A"/>
    <w:rsid w:val="3CC94D9E"/>
    <w:rsid w:val="3D1C4922"/>
    <w:rsid w:val="3EBE5472"/>
    <w:rsid w:val="411A5BC8"/>
    <w:rsid w:val="43FA3C0F"/>
    <w:rsid w:val="440E1469"/>
    <w:rsid w:val="44427364"/>
    <w:rsid w:val="44685A22"/>
    <w:rsid w:val="44915BF6"/>
    <w:rsid w:val="45924DAD"/>
    <w:rsid w:val="46244F73"/>
    <w:rsid w:val="465F41FD"/>
    <w:rsid w:val="469F45FA"/>
    <w:rsid w:val="47273F86"/>
    <w:rsid w:val="474653BD"/>
    <w:rsid w:val="478F7701"/>
    <w:rsid w:val="47995A5E"/>
    <w:rsid w:val="48233009"/>
    <w:rsid w:val="48BD4172"/>
    <w:rsid w:val="492D05E3"/>
    <w:rsid w:val="49530A2B"/>
    <w:rsid w:val="49C10D2B"/>
    <w:rsid w:val="49CB3958"/>
    <w:rsid w:val="49D4280C"/>
    <w:rsid w:val="49DE5D0E"/>
    <w:rsid w:val="49F45603"/>
    <w:rsid w:val="4A0D21C2"/>
    <w:rsid w:val="4A112D5E"/>
    <w:rsid w:val="4A1B043B"/>
    <w:rsid w:val="4A361D1A"/>
    <w:rsid w:val="4A4060F4"/>
    <w:rsid w:val="4AFF7D5D"/>
    <w:rsid w:val="4B103D18"/>
    <w:rsid w:val="4B3F10CD"/>
    <w:rsid w:val="4C673E0C"/>
    <w:rsid w:val="4CD74D65"/>
    <w:rsid w:val="4CEE0089"/>
    <w:rsid w:val="4CEF72FB"/>
    <w:rsid w:val="4CFC1475"/>
    <w:rsid w:val="4DF726AE"/>
    <w:rsid w:val="4E5C69D4"/>
    <w:rsid w:val="4E6A7BE3"/>
    <w:rsid w:val="4E7B76FB"/>
    <w:rsid w:val="4E944C60"/>
    <w:rsid w:val="4EDD2163"/>
    <w:rsid w:val="4F244236"/>
    <w:rsid w:val="4F6F6FE2"/>
    <w:rsid w:val="4FCB292C"/>
    <w:rsid w:val="50096F88"/>
    <w:rsid w:val="50302A1C"/>
    <w:rsid w:val="50B05655"/>
    <w:rsid w:val="51340035"/>
    <w:rsid w:val="51C838A7"/>
    <w:rsid w:val="51CF31FA"/>
    <w:rsid w:val="51D3012E"/>
    <w:rsid w:val="51DA5080"/>
    <w:rsid w:val="521F692E"/>
    <w:rsid w:val="524F1749"/>
    <w:rsid w:val="529D7C27"/>
    <w:rsid w:val="52B564F9"/>
    <w:rsid w:val="52D66137"/>
    <w:rsid w:val="532A25A8"/>
    <w:rsid w:val="53FF269F"/>
    <w:rsid w:val="54A97E1A"/>
    <w:rsid w:val="54D9517B"/>
    <w:rsid w:val="54F70BA6"/>
    <w:rsid w:val="54F71AA5"/>
    <w:rsid w:val="55124B31"/>
    <w:rsid w:val="55FC142C"/>
    <w:rsid w:val="564861A3"/>
    <w:rsid w:val="56555D59"/>
    <w:rsid w:val="56772E9D"/>
    <w:rsid w:val="56EE440E"/>
    <w:rsid w:val="571F77CE"/>
    <w:rsid w:val="57250B4B"/>
    <w:rsid w:val="58256929"/>
    <w:rsid w:val="58B633A9"/>
    <w:rsid w:val="59172DDD"/>
    <w:rsid w:val="59973B0C"/>
    <w:rsid w:val="5B026D2D"/>
    <w:rsid w:val="5B60111B"/>
    <w:rsid w:val="5B7E6A7C"/>
    <w:rsid w:val="5C9E6180"/>
    <w:rsid w:val="5DD36B47"/>
    <w:rsid w:val="5DD87B99"/>
    <w:rsid w:val="5E59557E"/>
    <w:rsid w:val="5EA05A1B"/>
    <w:rsid w:val="5EC60633"/>
    <w:rsid w:val="5EE36680"/>
    <w:rsid w:val="5EEA61D6"/>
    <w:rsid w:val="5F0D4875"/>
    <w:rsid w:val="5F493FF1"/>
    <w:rsid w:val="5F56402F"/>
    <w:rsid w:val="60354BD7"/>
    <w:rsid w:val="604C42A7"/>
    <w:rsid w:val="60791F08"/>
    <w:rsid w:val="60FB2894"/>
    <w:rsid w:val="61AC7EF2"/>
    <w:rsid w:val="621B6B57"/>
    <w:rsid w:val="626A564A"/>
    <w:rsid w:val="632B573B"/>
    <w:rsid w:val="634C7460"/>
    <w:rsid w:val="63A71E55"/>
    <w:rsid w:val="64684338"/>
    <w:rsid w:val="653B3C30"/>
    <w:rsid w:val="655D554E"/>
    <w:rsid w:val="66746574"/>
    <w:rsid w:val="671875D8"/>
    <w:rsid w:val="679174D6"/>
    <w:rsid w:val="68072D53"/>
    <w:rsid w:val="684150B9"/>
    <w:rsid w:val="68720A69"/>
    <w:rsid w:val="687C4877"/>
    <w:rsid w:val="68ED187A"/>
    <w:rsid w:val="69087CDF"/>
    <w:rsid w:val="69B72B7C"/>
    <w:rsid w:val="6A0A35E6"/>
    <w:rsid w:val="6B2A197B"/>
    <w:rsid w:val="6BAC4F3F"/>
    <w:rsid w:val="6C4433CA"/>
    <w:rsid w:val="6D012EC3"/>
    <w:rsid w:val="6DC463A3"/>
    <w:rsid w:val="6E005E38"/>
    <w:rsid w:val="6F80552C"/>
    <w:rsid w:val="6F8A1A3C"/>
    <w:rsid w:val="6FD5240A"/>
    <w:rsid w:val="707564C4"/>
    <w:rsid w:val="7084648B"/>
    <w:rsid w:val="709A5CAE"/>
    <w:rsid w:val="721A7053"/>
    <w:rsid w:val="72274E2E"/>
    <w:rsid w:val="72750781"/>
    <w:rsid w:val="727A5D97"/>
    <w:rsid w:val="72AB288E"/>
    <w:rsid w:val="72E90827"/>
    <w:rsid w:val="7343340A"/>
    <w:rsid w:val="73FB2F08"/>
    <w:rsid w:val="743957DE"/>
    <w:rsid w:val="748C4C32"/>
    <w:rsid w:val="751D2A0A"/>
    <w:rsid w:val="75E07504"/>
    <w:rsid w:val="75E31EA6"/>
    <w:rsid w:val="75E34653"/>
    <w:rsid w:val="764D342D"/>
    <w:rsid w:val="7670073F"/>
    <w:rsid w:val="76AE3849"/>
    <w:rsid w:val="76B63116"/>
    <w:rsid w:val="76B82F0C"/>
    <w:rsid w:val="77420E4E"/>
    <w:rsid w:val="779C40BA"/>
    <w:rsid w:val="77CD60E1"/>
    <w:rsid w:val="77FC0D3A"/>
    <w:rsid w:val="78456464"/>
    <w:rsid w:val="785D6F0C"/>
    <w:rsid w:val="78900DBA"/>
    <w:rsid w:val="790740FD"/>
    <w:rsid w:val="792067C5"/>
    <w:rsid w:val="7975082F"/>
    <w:rsid w:val="798C015E"/>
    <w:rsid w:val="79A62727"/>
    <w:rsid w:val="7A5F5D78"/>
    <w:rsid w:val="7A8377B3"/>
    <w:rsid w:val="7AEE2205"/>
    <w:rsid w:val="7B043FDD"/>
    <w:rsid w:val="7BB17292"/>
    <w:rsid w:val="7BB8437A"/>
    <w:rsid w:val="7BC71922"/>
    <w:rsid w:val="7BE034EE"/>
    <w:rsid w:val="7C141126"/>
    <w:rsid w:val="7C6B49A3"/>
    <w:rsid w:val="7C812A86"/>
    <w:rsid w:val="7CFD384D"/>
    <w:rsid w:val="7D190AE4"/>
    <w:rsid w:val="7DA82814"/>
    <w:rsid w:val="7DD563B9"/>
    <w:rsid w:val="7DDD71DA"/>
    <w:rsid w:val="7F2B09E0"/>
    <w:rsid w:val="7F805EED"/>
    <w:rsid w:val="7F9E1A24"/>
    <w:rsid w:val="A2AFD52E"/>
    <w:rsid w:val="FEFBD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val="0"/>
      <w:keepLines w:val="0"/>
      <w:spacing w:line="560" w:lineRule="exact"/>
      <w:outlineLvl w:val="0"/>
    </w:pPr>
    <w:rPr>
      <w:rFonts w:ascii="Calibri" w:hAnsi="Calibri" w:eastAsia="黑体" w:cstheme="minorBidi"/>
      <w:kern w:val="44"/>
      <w:sz w:val="32"/>
      <w:szCs w:val="20"/>
    </w:rPr>
  </w:style>
  <w:style w:type="paragraph" w:styleId="3">
    <w:name w:val="heading 2"/>
    <w:basedOn w:val="1"/>
    <w:next w:val="1"/>
    <w:semiHidden/>
    <w:unhideWhenUsed/>
    <w:qFormat/>
    <w:uiPriority w:val="0"/>
    <w:pPr>
      <w:keepNext/>
      <w:keepLines/>
      <w:spacing w:beforeLines="0" w:beforeAutospacing="0" w:after="0" w:afterLines="0" w:afterAutospacing="0" w:line="560" w:lineRule="exact"/>
      <w:ind w:firstLine="640" w:firstLineChars="200"/>
      <w:outlineLvl w:val="1"/>
    </w:pPr>
    <w:rPr>
      <w:rFonts w:ascii="Arial" w:hAnsi="Arial" w:eastAsia="楷体" w:cs="Times New Roman"/>
      <w:szCs w:val="22"/>
    </w:rPr>
  </w:style>
  <w:style w:type="paragraph" w:styleId="4">
    <w:name w:val="heading 3"/>
    <w:basedOn w:val="1"/>
    <w:next w:val="1"/>
    <w:semiHidden/>
    <w:unhideWhenUsed/>
    <w:qFormat/>
    <w:uiPriority w:val="0"/>
    <w:pPr>
      <w:keepNext/>
      <w:keepLines/>
      <w:spacing w:before="0" w:beforeLines="0" w:beforeAutospacing="0" w:after="0" w:afterLines="0" w:afterAutospacing="0" w:line="560" w:lineRule="exact"/>
      <w:ind w:firstLine="640" w:firstLineChars="200"/>
      <w:outlineLvl w:val="2"/>
    </w:pPr>
    <w:rPr>
      <w:rFonts w:ascii="Calibri" w:hAnsi="Calibri" w:eastAsia="仿宋_GB2312" w:cs="Times New Roman"/>
      <w:sz w:val="32"/>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仿宋_GB2312" w:cstheme="minorBidi"/>
      <w:sz w:val="32"/>
      <w:szCs w:val="24"/>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link w:val="14"/>
    <w:qFormat/>
    <w:uiPriority w:val="0"/>
    <w:pPr>
      <w:keepNext w:val="0"/>
      <w:keepLines w:val="0"/>
      <w:widowControl w:val="0"/>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ind w:left="0" w:right="0"/>
      <w:jc w:val="left"/>
    </w:pPr>
    <w:rPr>
      <w:rFonts w:hint="default" w:ascii="Calibri" w:hAnsi="Calibri" w:eastAsia="Calibri" w:cs="Calibri"/>
      <w:kern w:val="0"/>
      <w:sz w:val="21"/>
      <w:szCs w:val="22"/>
      <w:shd w:val="clear" w:fill="auto"/>
      <w:lang w:val="en-US" w:eastAsia="zh-CN" w:bidi="ar"/>
    </w:rPr>
  </w:style>
  <w:style w:type="paragraph" w:styleId="7">
    <w:name w:val="footer"/>
    <w:basedOn w:val="1"/>
    <w:qFormat/>
    <w:uiPriority w:val="0"/>
    <w:pPr>
      <w:tabs>
        <w:tab w:val="center" w:pos="4153"/>
        <w:tab w:val="right" w:pos="8306"/>
      </w:tabs>
      <w:snapToGrid w:val="0"/>
      <w:spacing w:line="360" w:lineRule="auto"/>
      <w:jc w:val="center"/>
    </w:pPr>
    <w:rPr>
      <w:rFonts w:ascii="Calibri" w:hAnsi="Calibri" w:eastAsia="宋体" w:cs="Times New Roman"/>
      <w:sz w:val="24"/>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link w:val="15"/>
    <w:qFormat/>
    <w:uiPriority w:val="0"/>
    <w:pPr>
      <w:keepNext w:val="0"/>
      <w:keepLines w:val="0"/>
      <w:widowControl w:val="0"/>
      <w:suppressLineNumbers w:val="0"/>
      <w:pBdr>
        <w:top w:val="none" w:color="000000" w:sz="0" w:space="0"/>
        <w:left w:val="none" w:color="000000" w:sz="0" w:space="0"/>
        <w:bottom w:val="none" w:color="000000" w:sz="0" w:space="0"/>
        <w:right w:val="none" w:color="000000" w:sz="0" w:space="0"/>
      </w:pBdr>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Times New Roman"/>
      <w:kern w:val="0"/>
      <w:sz w:val="24"/>
      <w:szCs w:val="24"/>
      <w:shd w:val="clear" w:fill="auto"/>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文字 字符"/>
    <w:basedOn w:val="13"/>
    <w:link w:val="6"/>
    <w:qFormat/>
    <w:uiPriority w:val="0"/>
    <w:rPr>
      <w:rFonts w:hint="default" w:ascii="Calibri" w:hAnsi="Calibri" w:eastAsia="Calibri" w:cs="Calibri"/>
      <w:sz w:val="21"/>
      <w:szCs w:val="22"/>
      <w:shd w:val="clear" w:fill="FFFFFF"/>
    </w:rPr>
  </w:style>
  <w:style w:type="character" w:customStyle="1" w:styleId="15">
    <w:name w:val="HTML 预设格式 字符"/>
    <w:basedOn w:val="13"/>
    <w:link w:val="9"/>
    <w:qFormat/>
    <w:uiPriority w:val="0"/>
    <w:rPr>
      <w:rFonts w:hint="eastAsia" w:ascii="宋体" w:hAnsi="宋体" w:eastAsia="宋体" w:cs="宋体"/>
      <w:sz w:val="24"/>
      <w:szCs w:val="24"/>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2551</Words>
  <Characters>2574</Characters>
  <Lines>0</Lines>
  <Paragraphs>0</Paragraphs>
  <TotalTime>83</TotalTime>
  <ScaleCrop>false</ScaleCrop>
  <LinksUpToDate>false</LinksUpToDate>
  <CharactersWithSpaces>2622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2023-09-25T17:19:00Z</dcterms:created>
  <dc:creator>马梦娟</dc:creator>
  <cp:lastModifiedBy>WPS_1690420078</cp:lastModifiedBy>
  <cp:lastPrinted>2024-07-15T01:55:28Z</cp:lastPrinted>
  <dcterms:modified xsi:type="dcterms:W3CDTF">2024-07-15T08:20:20Z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4D02D6A2A47F46019A9B101656F86026_13</vt:lpwstr>
  </property>
</Properties>
</file>