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FBFB3">
      <w:pPr>
        <w:adjustRightInd w:val="0"/>
        <w:snapToGrid w:val="0"/>
        <w:spacing w:after="0"/>
        <w:rPr>
          <w:rFonts w:ascii="方正小标宋简体" w:eastAsia="方正小标宋简体"/>
          <w:sz w:val="44"/>
          <w:szCs w:val="44"/>
        </w:rPr>
      </w:pPr>
      <w:r>
        <w:rPr>
          <w:rFonts w:hint="eastAsia" w:ascii="方正小标宋简体" w:eastAsia="方正小标宋简体"/>
          <w:sz w:val="44"/>
          <w:szCs w:val="44"/>
        </w:rPr>
        <w:t>北京“专精特新”专板入板企业私募股权融资奖励政策申报指南</w:t>
      </w:r>
    </w:p>
    <w:p w14:paraId="363A0F7E">
      <w:pPr>
        <w:adjustRightInd w:val="0"/>
        <w:snapToGrid w:val="0"/>
        <w:spacing w:after="0"/>
        <w:ind w:firstLine="640" w:firstLineChars="200"/>
        <w:jc w:val="both"/>
      </w:pPr>
    </w:p>
    <w:p w14:paraId="6C7129F7">
      <w:pPr>
        <w:adjustRightInd w:val="0"/>
        <w:snapToGrid w:val="0"/>
        <w:spacing w:after="0"/>
        <w:ind w:firstLine="640" w:firstLineChars="200"/>
        <w:jc w:val="both"/>
      </w:pPr>
      <w:r>
        <w:rPr>
          <w:rFonts w:hint="eastAsia"/>
        </w:rPr>
        <w:t>为进一步发挥北京“专精特新”专板融资综合服务功能，促进专精特新梯队企业更好</w:t>
      </w:r>
      <w:r>
        <w:rPr>
          <w:rFonts w:hint="eastAsia"/>
          <w:lang w:val="en-US" w:eastAsia="zh-CN"/>
        </w:rPr>
        <w:t>地</w:t>
      </w:r>
      <w:r>
        <w:rPr>
          <w:rFonts w:hint="eastAsia"/>
        </w:rPr>
        <w:t>拓宽直接融资渠道，引导金融资源更好地服务实体经济，制定本申报指南，符合条件的企业可根据要求进行申报。</w:t>
      </w:r>
    </w:p>
    <w:p w14:paraId="4C63D6BA">
      <w:pPr>
        <w:adjustRightInd w:val="0"/>
        <w:snapToGrid w:val="0"/>
        <w:spacing w:after="0"/>
        <w:ind w:firstLine="640" w:firstLineChars="200"/>
        <w:jc w:val="both"/>
        <w:rPr>
          <w:rFonts w:ascii="黑体" w:hAnsi="黑体" w:eastAsia="黑体"/>
        </w:rPr>
      </w:pPr>
      <w:r>
        <w:rPr>
          <w:rFonts w:hint="eastAsia" w:ascii="黑体" w:hAnsi="黑体" w:eastAsia="黑体"/>
        </w:rPr>
        <w:t>一、申报要求</w:t>
      </w:r>
    </w:p>
    <w:p w14:paraId="2D3169EC">
      <w:pPr>
        <w:adjustRightInd w:val="0"/>
        <w:snapToGrid w:val="0"/>
        <w:spacing w:after="0"/>
        <w:ind w:firstLine="640" w:firstLineChars="200"/>
        <w:jc w:val="both"/>
        <w:rPr>
          <w:rFonts w:ascii="楷体" w:hAnsi="楷体" w:eastAsia="楷体"/>
        </w:rPr>
      </w:pPr>
      <w:r>
        <w:rPr>
          <w:rFonts w:hint="eastAsia" w:ascii="楷体" w:hAnsi="楷体" w:eastAsia="楷体"/>
        </w:rPr>
        <w:t>（一）奖励对象要求</w:t>
      </w:r>
    </w:p>
    <w:p w14:paraId="5BB96018">
      <w:pPr>
        <w:adjustRightInd w:val="0"/>
        <w:snapToGrid w:val="0"/>
        <w:spacing w:after="0"/>
        <w:ind w:firstLine="640" w:firstLineChars="200"/>
        <w:jc w:val="both"/>
      </w:pPr>
      <w:r>
        <w:rPr>
          <w:rFonts w:hint="eastAsia"/>
        </w:rPr>
        <w:t>1.在北京市登记注册，具有独立法人资格，近三年无严重失信记录和重大安全生产事故。</w:t>
      </w:r>
    </w:p>
    <w:p w14:paraId="71A85EFE">
      <w:pPr>
        <w:adjustRightInd w:val="0"/>
        <w:snapToGrid w:val="0"/>
        <w:spacing w:after="0"/>
        <w:ind w:firstLine="640" w:firstLineChars="200"/>
        <w:jc w:val="both"/>
      </w:pPr>
      <w:r>
        <w:rPr>
          <w:rFonts w:hint="eastAsia"/>
        </w:rPr>
        <w:t>2.于2023年8月24日至2024年9月30日期间，进入北京“专精特新”专板，且申报时在板的企业。同时，企业需属于创新型中小企业、专精特新中小企业或国家专精特新“小巨人”企业。</w:t>
      </w:r>
    </w:p>
    <w:p w14:paraId="63513427">
      <w:pPr>
        <w:adjustRightInd w:val="0"/>
        <w:snapToGrid w:val="0"/>
        <w:spacing w:after="0"/>
        <w:ind w:firstLine="640" w:firstLineChars="200"/>
        <w:jc w:val="both"/>
        <w:rPr>
          <w:rFonts w:ascii="楷体" w:hAnsi="楷体" w:eastAsia="楷体"/>
        </w:rPr>
      </w:pPr>
      <w:r>
        <w:rPr>
          <w:rFonts w:hint="eastAsia" w:ascii="楷体" w:hAnsi="楷体" w:eastAsia="楷体"/>
        </w:rPr>
        <w:t>（二）奖励方式</w:t>
      </w:r>
    </w:p>
    <w:p w14:paraId="3D4A9C00">
      <w:pPr>
        <w:adjustRightInd w:val="0"/>
        <w:snapToGrid w:val="0"/>
        <w:spacing w:after="0"/>
        <w:ind w:firstLine="640" w:firstLineChars="200"/>
        <w:jc w:val="both"/>
      </w:pPr>
      <w:r>
        <w:rPr>
          <w:rFonts w:hint="eastAsia"/>
        </w:rPr>
        <w:t>1.对在2023年8月24日-2024年9月30日期间进入北京“专精特新”专板，且成功实现私募股权融资（限合格机构投资者作为投资主体的私募股权投融资行为）的企业，按照实际募集资金分三档进行奖励。对实际融资金额在1.2亿元（含）以上的，一次性给予最高不超过30万元奖励；对实际融资金额在4000万元</w:t>
      </w:r>
      <w:r>
        <w:rPr>
          <w:rFonts w:hint="eastAsia"/>
          <w:bCs/>
        </w:rPr>
        <w:t>（含）</w:t>
      </w:r>
      <w:r>
        <w:rPr>
          <w:rFonts w:hint="eastAsia"/>
        </w:rPr>
        <w:t>——1.2亿元（不含）的，一次性给予最高不超过20万元奖励；对实际融资金额在1000万元（含）——4000万元（不含）</w:t>
      </w:r>
      <w:r>
        <w:rPr>
          <w:rFonts w:hint="eastAsia"/>
          <w:kern w:val="0"/>
          <w:szCs w:val="32"/>
        </w:rPr>
        <w:t>的，一次性给予</w:t>
      </w:r>
      <w:r>
        <w:rPr>
          <w:rFonts w:hint="eastAsia"/>
        </w:rPr>
        <w:t>最高不超过</w:t>
      </w:r>
      <w:r>
        <w:rPr>
          <w:rFonts w:hint="eastAsia"/>
          <w:kern w:val="0"/>
          <w:szCs w:val="32"/>
        </w:rPr>
        <w:t>10万元奖励。</w:t>
      </w:r>
      <w:r>
        <w:rPr>
          <w:rFonts w:hint="eastAsia"/>
        </w:rPr>
        <w:t>每家企业仅能享受一次奖励，已获得过奖励的企业在后续年度不得重复申报。</w:t>
      </w:r>
    </w:p>
    <w:p w14:paraId="724F920D">
      <w:pPr>
        <w:adjustRightInd w:val="0"/>
        <w:snapToGrid w:val="0"/>
        <w:spacing w:after="0"/>
        <w:ind w:firstLine="640" w:firstLineChars="200"/>
        <w:jc w:val="both"/>
      </w:pPr>
      <w:r>
        <w:rPr>
          <w:rFonts w:hint="eastAsia"/>
        </w:rPr>
        <w:t>上述“合格机构投资者”是指符合《私募投资基金监督管理条例》规定完成备案且规范运作的创业投资基金及私募股权投资基金</w:t>
      </w:r>
      <w:bookmarkStart w:id="0" w:name="_Hlk170219728"/>
      <w:r>
        <w:rPr>
          <w:rFonts w:hint="eastAsia"/>
        </w:rPr>
        <w:t>，或以自有资金进行投资的法人机构</w:t>
      </w:r>
      <w:bookmarkEnd w:id="0"/>
      <w:r>
        <w:rPr>
          <w:rFonts w:hint="eastAsia"/>
        </w:rPr>
        <w:t>。</w:t>
      </w:r>
    </w:p>
    <w:p w14:paraId="71A2E5B2">
      <w:pPr>
        <w:adjustRightInd w:val="0"/>
        <w:snapToGrid w:val="0"/>
        <w:spacing w:after="0"/>
        <w:ind w:firstLine="640" w:firstLineChars="200"/>
        <w:jc w:val="both"/>
        <w:rPr>
          <w:lang w:val="en"/>
        </w:rPr>
      </w:pPr>
      <w:r>
        <w:rPr>
          <w:rFonts w:hint="eastAsia"/>
        </w:rPr>
        <w:t>2.私募股权融资行为须在2023年8月24日-2024年9月30日期间内实施，具体以私募股权投融资协议生效且募集资金实际到账的日期为准。企业实际募集资金以私募股权投融资协议范围内的实际到账金额为准。</w:t>
      </w:r>
    </w:p>
    <w:p w14:paraId="1152C9F0">
      <w:pPr>
        <w:adjustRightInd w:val="0"/>
        <w:snapToGrid w:val="0"/>
        <w:spacing w:after="0"/>
        <w:ind w:firstLine="640" w:firstLineChars="200"/>
        <w:jc w:val="both"/>
        <w:rPr>
          <w:rFonts w:hint="eastAsia" w:ascii="楷体_GB2312" w:hAnsi="楷体_GB2312" w:eastAsia="楷体_GB2312" w:cs="楷体_GB2312"/>
        </w:rPr>
      </w:pPr>
      <w:r>
        <w:rPr>
          <w:rFonts w:hint="eastAsia" w:ascii="楷体_GB2312" w:hAnsi="楷体_GB2312" w:eastAsia="楷体_GB2312" w:cs="楷体_GB2312"/>
        </w:rPr>
        <w:t>（三）申报材料</w:t>
      </w:r>
    </w:p>
    <w:p w14:paraId="3019C1CC">
      <w:pPr>
        <w:adjustRightInd w:val="0"/>
        <w:snapToGrid w:val="0"/>
        <w:spacing w:after="0"/>
        <w:ind w:firstLine="640" w:firstLineChars="200"/>
        <w:jc w:val="both"/>
      </w:pPr>
      <w:r>
        <w:t>1.</w:t>
      </w:r>
      <w:r>
        <w:rPr>
          <w:rFonts w:hint="eastAsia"/>
        </w:rPr>
        <w:t>北京“专精特新”专板入板企业私募股权融资奖励申报表（附件1）</w:t>
      </w:r>
      <w:r>
        <w:t>；</w:t>
      </w:r>
    </w:p>
    <w:p w14:paraId="672C7F21">
      <w:pPr>
        <w:adjustRightInd w:val="0"/>
        <w:snapToGrid w:val="0"/>
        <w:spacing w:after="0"/>
        <w:ind w:firstLine="640" w:firstLineChars="200"/>
        <w:jc w:val="both"/>
      </w:pPr>
      <w:r>
        <w:t>2.</w:t>
      </w:r>
      <w:r>
        <w:rPr>
          <w:rFonts w:hint="eastAsia"/>
        </w:rPr>
        <w:t>北京“专精特新”专板入板企业私募股权融资奖励申报承诺书（附件2）</w:t>
      </w:r>
      <w:r>
        <w:t>；</w:t>
      </w:r>
    </w:p>
    <w:p w14:paraId="311614E4">
      <w:pPr>
        <w:adjustRightInd w:val="0"/>
        <w:snapToGrid w:val="0"/>
        <w:spacing w:after="0"/>
        <w:ind w:firstLine="640" w:firstLineChars="200"/>
        <w:jc w:val="both"/>
      </w:pPr>
      <w:r>
        <w:t>3.</w:t>
      </w:r>
      <w:r>
        <w:rPr>
          <w:rFonts w:hint="eastAsia"/>
        </w:rPr>
        <w:t>佐证材料清单，具体如下：</w:t>
      </w:r>
    </w:p>
    <w:p w14:paraId="372C4AFE">
      <w:pPr>
        <w:adjustRightInd w:val="0"/>
        <w:snapToGrid w:val="0"/>
        <w:spacing w:after="0"/>
        <w:ind w:firstLine="640" w:firstLineChars="200"/>
        <w:jc w:val="both"/>
        <w:rPr>
          <w:rFonts w:cs="仿宋_GB2312"/>
          <w:szCs w:val="32"/>
        </w:rPr>
      </w:pPr>
      <w:r>
        <w:rPr>
          <w:rFonts w:hint="eastAsia" w:cs="仿宋_GB2312"/>
          <w:szCs w:val="32"/>
        </w:rPr>
        <w:t>（</w:t>
      </w:r>
      <w:r>
        <w:rPr>
          <w:rFonts w:cs="仿宋_GB2312"/>
          <w:szCs w:val="32"/>
        </w:rPr>
        <w:t>1）</w:t>
      </w:r>
      <w:r>
        <w:rPr>
          <w:rFonts w:hint="eastAsia" w:cs="仿宋_GB2312"/>
          <w:szCs w:val="32"/>
        </w:rPr>
        <w:t>营业执照；</w:t>
      </w:r>
    </w:p>
    <w:p w14:paraId="3945B5C9">
      <w:pPr>
        <w:adjustRightInd w:val="0"/>
        <w:snapToGrid w:val="0"/>
        <w:spacing w:after="0"/>
        <w:ind w:firstLine="640" w:firstLineChars="200"/>
        <w:jc w:val="both"/>
      </w:pPr>
      <w:r>
        <w:rPr>
          <w:rFonts w:hint="eastAsia" w:cs="仿宋_GB2312"/>
          <w:szCs w:val="32"/>
        </w:rPr>
        <w:t>（2</w:t>
      </w:r>
      <w:r>
        <w:rPr>
          <w:rFonts w:cs="仿宋_GB2312"/>
          <w:szCs w:val="32"/>
        </w:rPr>
        <w:t>）</w:t>
      </w:r>
      <w:r>
        <w:rPr>
          <w:rFonts w:hint="eastAsia" w:cs="仿宋_GB2312"/>
          <w:szCs w:val="32"/>
        </w:rPr>
        <w:t>合格机构投资者与公司签订的股权投资协议、验资报告等，同时企业需提供相应的银行到账凭证</w:t>
      </w:r>
      <w:r>
        <w:rPr>
          <w:rFonts w:hint="eastAsia"/>
        </w:rPr>
        <w:t>。</w:t>
      </w:r>
    </w:p>
    <w:p w14:paraId="425BACBF">
      <w:pPr>
        <w:adjustRightInd w:val="0"/>
        <w:snapToGrid w:val="0"/>
        <w:spacing w:after="0"/>
        <w:ind w:firstLine="640" w:firstLineChars="200"/>
        <w:jc w:val="both"/>
      </w:pPr>
      <w:r>
        <w:rPr>
          <w:rFonts w:hint="eastAsia"/>
        </w:rPr>
        <w:t>以上材料需</w:t>
      </w:r>
      <w:r>
        <w:rPr>
          <w:rFonts w:hint="eastAsia" w:cs="仿宋_GB2312"/>
          <w:szCs w:val="32"/>
        </w:rPr>
        <w:t>提交经公司加盖公章的PDF格式电子版材料。</w:t>
      </w:r>
    </w:p>
    <w:p w14:paraId="51FEF53A">
      <w:pPr>
        <w:adjustRightInd w:val="0"/>
        <w:snapToGrid w:val="0"/>
        <w:spacing w:after="0"/>
        <w:ind w:firstLine="640" w:firstLineChars="200"/>
        <w:jc w:val="both"/>
        <w:rPr>
          <w:rFonts w:cs="仿宋_GB2312"/>
        </w:rPr>
      </w:pPr>
      <w:r>
        <w:rPr>
          <w:rFonts w:hint="eastAsia"/>
        </w:rPr>
        <w:t>二、申报方式</w:t>
      </w:r>
    </w:p>
    <w:p w14:paraId="3D1283BE">
      <w:pPr>
        <w:adjustRightInd w:val="0"/>
        <w:snapToGrid w:val="0"/>
        <w:spacing w:after="0"/>
        <w:ind w:firstLine="640" w:firstLineChars="200"/>
        <w:jc w:val="both"/>
      </w:pPr>
      <w:r>
        <w:rPr>
          <w:rFonts w:hint="eastAsia"/>
        </w:rPr>
        <w:t>（一）符合条件的申报单位应于202</w:t>
      </w:r>
      <w:r>
        <w:t>4</w:t>
      </w:r>
      <w:r>
        <w:rPr>
          <w:rFonts w:hint="eastAsia"/>
        </w:rPr>
        <w:t>年9月30日前，通过“北京通企服版APP-首页-一体化申报平台-2024年北京‘专精特新’专板入板企业私募股权融资奖励-申报入口”或“北京市中小企业公共服务平台（www.smebj.cn）-首页-一体化申报平台-2024年北京‘专精特新’专板入板企业私募股权融资奖励-申报入口”进行政策申报，逾期未完成申报的，将不予受理。</w:t>
      </w:r>
    </w:p>
    <w:p w14:paraId="0A54E96B">
      <w:pPr>
        <w:adjustRightInd w:val="0"/>
        <w:snapToGrid w:val="0"/>
        <w:spacing w:after="0"/>
        <w:ind w:firstLine="640" w:firstLineChars="200"/>
        <w:jc w:val="both"/>
      </w:pPr>
      <w:r>
        <w:rPr>
          <w:rFonts w:hint="eastAsia"/>
        </w:rPr>
        <w:t>（二）申报材料应严格按照申报指南提供的模板及要求编制，资料提供不完整或未加盖单位公章的不予受理。</w:t>
      </w:r>
    </w:p>
    <w:p w14:paraId="768B55BB">
      <w:pPr>
        <w:adjustRightInd w:val="0"/>
        <w:snapToGrid w:val="0"/>
        <w:spacing w:after="0"/>
        <w:ind w:firstLine="640" w:firstLineChars="200"/>
        <w:jc w:val="both"/>
      </w:pPr>
      <w:r>
        <w:rPr>
          <w:rFonts w:hint="eastAsia"/>
        </w:rPr>
        <w:t>（三）申报单位提交材料须真实、准确、有效，我局将加强监督管理，如发现数据造假等行为，一经查实，将收回支持资金，并纳入失信惩戒名单。</w:t>
      </w:r>
    </w:p>
    <w:p w14:paraId="5A64D90C">
      <w:pPr>
        <w:pStyle w:val="3"/>
        <w:adjustRightInd w:val="0"/>
        <w:snapToGrid w:val="0"/>
        <w:spacing w:after="0"/>
      </w:pPr>
    </w:p>
    <w:p w14:paraId="69E793C6">
      <w:pPr>
        <w:adjustRightInd w:val="0"/>
        <w:snapToGrid w:val="0"/>
        <w:spacing w:after="0"/>
        <w:ind w:firstLine="640" w:firstLineChars="200"/>
        <w:jc w:val="both"/>
      </w:pPr>
      <w:r>
        <w:rPr>
          <w:rFonts w:hint="eastAsia"/>
        </w:rPr>
        <w:t>附件：</w:t>
      </w:r>
    </w:p>
    <w:p w14:paraId="741CFAC7">
      <w:pPr>
        <w:adjustRightInd w:val="0"/>
        <w:snapToGrid w:val="0"/>
        <w:spacing w:after="0"/>
        <w:ind w:firstLine="640" w:firstLineChars="200"/>
        <w:jc w:val="both"/>
      </w:pPr>
      <w:r>
        <w:rPr>
          <w:rFonts w:hint="eastAsia"/>
        </w:rPr>
        <w:t>1</w:t>
      </w:r>
      <w:r>
        <w:t>.</w:t>
      </w:r>
      <w:r>
        <w:rPr>
          <w:rFonts w:hint="eastAsia"/>
        </w:rPr>
        <w:t>北京“专精特新”专板入板企业私募股权融资奖励申报表</w:t>
      </w:r>
    </w:p>
    <w:p w14:paraId="16CD9B0F">
      <w:pPr>
        <w:adjustRightInd w:val="0"/>
        <w:snapToGrid w:val="0"/>
        <w:spacing w:after="0"/>
        <w:ind w:firstLine="640" w:firstLineChars="200"/>
        <w:jc w:val="both"/>
      </w:pPr>
      <w:r>
        <w:rPr>
          <w:rFonts w:hint="eastAsia"/>
        </w:rPr>
        <w:t>2</w:t>
      </w:r>
      <w:r>
        <w:t>.</w:t>
      </w:r>
      <w:r>
        <w:rPr>
          <w:rFonts w:hint="eastAsia"/>
        </w:rPr>
        <w:t>北京“专精特新”专板入板企业私募股权融资奖励申报承诺书</w:t>
      </w:r>
    </w:p>
    <w:p w14:paraId="68C23E2D">
      <w:pPr>
        <w:adjustRightInd w:val="0"/>
        <w:snapToGrid w:val="0"/>
        <w:spacing w:after="0"/>
        <w:ind w:firstLine="640" w:firstLineChars="200"/>
        <w:jc w:val="both"/>
      </w:pPr>
      <w:r>
        <w:rPr>
          <w:rFonts w:hint="eastAsia"/>
        </w:rPr>
        <w:t>3.北京“专精特新”专板入板操作手册</w:t>
      </w:r>
    </w:p>
    <w:p w14:paraId="7ED8393B">
      <w:pPr>
        <w:pStyle w:val="3"/>
        <w:adjustRightInd w:val="0"/>
        <w:snapToGrid w:val="0"/>
        <w:spacing w:after="0"/>
      </w:pPr>
      <w:r>
        <w:rPr>
          <w:rFonts w:hint="eastAsia"/>
        </w:rPr>
        <w:t xml:space="preserve">    </w:t>
      </w:r>
      <w:bookmarkStart w:id="1" w:name="_Hlk127181255"/>
    </w:p>
    <w:p w14:paraId="48189A6C">
      <w:pPr>
        <w:adjustRightInd w:val="0"/>
        <w:snapToGrid w:val="0"/>
        <w:spacing w:after="0"/>
        <w:ind w:firstLine="640" w:firstLineChars="200"/>
        <w:jc w:val="both"/>
      </w:pPr>
      <w:r>
        <w:rPr>
          <w:rFonts w:hint="eastAsia"/>
        </w:rPr>
        <w:t>咨询电话：</w:t>
      </w:r>
    </w:p>
    <w:p w14:paraId="72E9032A">
      <w:pPr>
        <w:adjustRightInd w:val="0"/>
        <w:snapToGrid w:val="0"/>
        <w:spacing w:after="0"/>
        <w:ind w:firstLine="640" w:firstLineChars="200"/>
        <w:jc w:val="both"/>
      </w:pPr>
      <w:r>
        <w:rPr>
          <w:rFonts w:hint="eastAsia"/>
        </w:rPr>
        <w:t>北京市经济和信息化局中小企业处</w:t>
      </w:r>
      <w:r>
        <w:t xml:space="preserve">  010-55520841</w:t>
      </w:r>
    </w:p>
    <w:p w14:paraId="702B4B9B">
      <w:pPr>
        <w:adjustRightInd w:val="0"/>
        <w:snapToGrid w:val="0"/>
        <w:spacing w:after="0"/>
        <w:ind w:firstLine="640" w:firstLineChars="200"/>
        <w:jc w:val="both"/>
      </w:pPr>
      <w:r>
        <w:rPr>
          <w:rFonts w:hint="eastAsia"/>
        </w:rPr>
        <w:t>技术支持：北京通企服版</w:t>
      </w:r>
      <w:r>
        <w:t xml:space="preserve">APP，010-82176966    </w:t>
      </w:r>
    </w:p>
    <w:p w14:paraId="48006222">
      <w:pPr>
        <w:adjustRightInd w:val="0"/>
        <w:snapToGrid w:val="0"/>
        <w:spacing w:after="0"/>
        <w:ind w:firstLine="640" w:firstLineChars="200"/>
        <w:jc w:val="both"/>
      </w:pPr>
      <w:r>
        <w:rPr>
          <w:rFonts w:hint="eastAsia"/>
        </w:rPr>
        <w:t>北京市中小企业公共服务平台，</w:t>
      </w:r>
      <w:r>
        <w:t xml:space="preserve">010-82176996 </w:t>
      </w:r>
      <w:bookmarkEnd w:id="1"/>
    </w:p>
    <w:p w14:paraId="51C190AF">
      <w:pPr>
        <w:pStyle w:val="3"/>
        <w:adjustRightInd w:val="0"/>
        <w:snapToGrid w:val="0"/>
        <w:spacing w:after="0"/>
      </w:pPr>
      <w:r>
        <w:rPr>
          <w:rFonts w:hint="eastAsia"/>
        </w:rPr>
        <w:t xml:space="preserve">        </w:t>
      </w:r>
    </w:p>
    <w:p w14:paraId="09D87DB7">
      <w:pPr>
        <w:pStyle w:val="3"/>
        <w:adjustRightInd w:val="0"/>
        <w:snapToGrid w:val="0"/>
        <w:spacing w:after="0"/>
      </w:pPr>
    </w:p>
    <w:p w14:paraId="515B9DC9">
      <w:pPr>
        <w:pStyle w:val="3"/>
        <w:adjustRightInd w:val="0"/>
        <w:snapToGrid w:val="0"/>
        <w:spacing w:after="0"/>
        <w:jc w:val="right"/>
        <w:rPr>
          <w:rFonts w:ascii="仿宋_GB2312" w:eastAsia="仿宋_GB2312"/>
          <w:sz w:val="32"/>
          <w:szCs w:val="22"/>
        </w:rPr>
      </w:pPr>
      <w:r>
        <w:rPr>
          <w:rFonts w:hint="eastAsia" w:ascii="仿宋_GB2312" w:eastAsia="仿宋_GB2312"/>
          <w:sz w:val="32"/>
          <w:szCs w:val="22"/>
        </w:rPr>
        <w:t>北京市经济和信息化局</w:t>
      </w:r>
    </w:p>
    <w:p w14:paraId="42C10CB9">
      <w:pPr>
        <w:pStyle w:val="3"/>
        <w:adjustRightInd w:val="0"/>
        <w:snapToGrid w:val="0"/>
        <w:spacing w:after="0"/>
        <w:jc w:val="right"/>
        <w:rPr>
          <w:rFonts w:ascii="仿宋_GB2312" w:eastAsia="仿宋_GB2312"/>
          <w:sz w:val="32"/>
          <w:szCs w:val="22"/>
        </w:rPr>
      </w:pPr>
      <w:r>
        <w:rPr>
          <w:rFonts w:hint="eastAsia" w:ascii="仿宋_GB2312" w:eastAsia="仿宋_GB2312"/>
          <w:sz w:val="32"/>
          <w:szCs w:val="22"/>
        </w:rPr>
        <w:t xml:space="preserve">                              2024年</w:t>
      </w:r>
      <w:r>
        <w:rPr>
          <w:rFonts w:ascii="仿宋_GB2312" w:eastAsia="仿宋_GB2312"/>
          <w:sz w:val="32"/>
          <w:szCs w:val="22"/>
        </w:rPr>
        <w:t>7</w:t>
      </w:r>
      <w:r>
        <w:rPr>
          <w:rFonts w:hint="eastAsia" w:ascii="仿宋_GB2312" w:eastAsia="仿宋_GB2312"/>
          <w:sz w:val="32"/>
          <w:szCs w:val="22"/>
        </w:rPr>
        <w:t>月</w:t>
      </w:r>
      <w:r>
        <w:rPr>
          <w:rFonts w:ascii="仿宋_GB2312" w:eastAsia="仿宋_GB2312"/>
          <w:sz w:val="32"/>
          <w:szCs w:val="22"/>
        </w:rPr>
        <w:t>1</w:t>
      </w:r>
      <w:r>
        <w:rPr>
          <w:rFonts w:hint="eastAsia" w:ascii="仿宋_GB2312" w:eastAsia="仿宋_GB2312"/>
          <w:sz w:val="32"/>
          <w:szCs w:val="22"/>
          <w:lang w:val="en-US" w:eastAsia="zh-CN"/>
        </w:rPr>
        <w:t>5</w:t>
      </w:r>
      <w:bookmarkStart w:id="2" w:name="_GoBack"/>
      <w:bookmarkEnd w:id="2"/>
      <w:r>
        <w:rPr>
          <w:rFonts w:hint="eastAsia" w:ascii="仿宋_GB2312" w:eastAsia="仿宋_GB2312"/>
          <w:sz w:val="32"/>
          <w:szCs w:val="22"/>
        </w:rPr>
        <w:t>日</w:t>
      </w:r>
    </w:p>
    <w:sectPr>
      <w:footerReference r:id="rId5" w:type="default"/>
      <w:pgSz w:w="11906" w:h="16838"/>
      <w:pgMar w:top="1962" w:right="1474" w:bottom="1848" w:left="1587" w:header="851" w:footer="992" w:gutter="0"/>
      <w:cols w:space="0" w:num="1"/>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CB4851-EF19-49A9-B34D-CFE4DEC612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DA85A9BA-F1AA-48D3-B9FF-E5434DB6F99B}"/>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3" w:fontKey="{EBDDB306-A49C-4493-A3F4-88D814C54F9C}"/>
  </w:font>
  <w:font w:name="楷体">
    <w:panose1 w:val="02010609060101010101"/>
    <w:charset w:val="86"/>
    <w:family w:val="modern"/>
    <w:pitch w:val="default"/>
    <w:sig w:usb0="800002BF" w:usb1="38CF7CFA" w:usb2="00000016" w:usb3="00000000" w:csb0="00040001" w:csb1="00000000"/>
    <w:embedRegular r:id="rId4" w:fontKey="{2C09E253-134B-4CF6-A104-258AB156AE6E}"/>
  </w:font>
  <w:font w:name="楷体_GB2312">
    <w:panose1 w:val="02010609030101010101"/>
    <w:charset w:val="86"/>
    <w:family w:val="auto"/>
    <w:pitch w:val="default"/>
    <w:sig w:usb0="00000001" w:usb1="080E0000" w:usb2="00000000" w:usb3="00000000" w:csb0="00040000" w:csb1="00000000"/>
    <w:embedRegular r:id="rId5" w:fontKey="{18DAA3E3-D949-48FB-84A5-4F5A60F0CE0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1723"/>
    </w:sdtPr>
    <w:sdtContent>
      <w:p w14:paraId="1F28BB62">
        <w:pPr>
          <w:pStyle w:val="5"/>
        </w:pPr>
        <w:r>
          <w:fldChar w:fldCharType="begin"/>
        </w:r>
        <w:r>
          <w:instrText xml:space="preserve">PAGE   \* MERGEFORMAT</w:instrText>
        </w:r>
        <w:r>
          <w:fldChar w:fldCharType="separate"/>
        </w:r>
        <w:r>
          <w:rPr>
            <w:lang w:val="zh-CN"/>
          </w:rPr>
          <w:t>2</w:t>
        </w:r>
        <w:r>
          <w:fldChar w:fldCharType="end"/>
        </w:r>
      </w:p>
    </w:sdtContent>
  </w:sdt>
  <w:p w14:paraId="78A95A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yMDk4M2VmMTM5MjVmMWY2ZjczYjM1NmFiNjlkY2YifQ=="/>
  </w:docVars>
  <w:rsids>
    <w:rsidRoot w:val="78624097"/>
    <w:rsid w:val="0001669F"/>
    <w:rsid w:val="000660AF"/>
    <w:rsid w:val="0007686D"/>
    <w:rsid w:val="00116976"/>
    <w:rsid w:val="001B76D1"/>
    <w:rsid w:val="001C6C5F"/>
    <w:rsid w:val="001F0501"/>
    <w:rsid w:val="001F5033"/>
    <w:rsid w:val="002041CC"/>
    <w:rsid w:val="00232FE6"/>
    <w:rsid w:val="00257EB3"/>
    <w:rsid w:val="00262D66"/>
    <w:rsid w:val="00263D8A"/>
    <w:rsid w:val="00280C9C"/>
    <w:rsid w:val="00283FCC"/>
    <w:rsid w:val="00284082"/>
    <w:rsid w:val="002A6741"/>
    <w:rsid w:val="00305901"/>
    <w:rsid w:val="003830C8"/>
    <w:rsid w:val="00384020"/>
    <w:rsid w:val="00397C12"/>
    <w:rsid w:val="004064A3"/>
    <w:rsid w:val="00424B55"/>
    <w:rsid w:val="004976ED"/>
    <w:rsid w:val="004C5E10"/>
    <w:rsid w:val="004D2EFE"/>
    <w:rsid w:val="004E3A80"/>
    <w:rsid w:val="004F5CD6"/>
    <w:rsid w:val="00566E2F"/>
    <w:rsid w:val="005C5B1B"/>
    <w:rsid w:val="005F161F"/>
    <w:rsid w:val="00620D35"/>
    <w:rsid w:val="00623D3F"/>
    <w:rsid w:val="00636234"/>
    <w:rsid w:val="0064025D"/>
    <w:rsid w:val="00694EEF"/>
    <w:rsid w:val="006A0997"/>
    <w:rsid w:val="006B44A0"/>
    <w:rsid w:val="006E0D69"/>
    <w:rsid w:val="006F2702"/>
    <w:rsid w:val="007405E4"/>
    <w:rsid w:val="007C153B"/>
    <w:rsid w:val="007E1392"/>
    <w:rsid w:val="008050A2"/>
    <w:rsid w:val="0080554A"/>
    <w:rsid w:val="0082791A"/>
    <w:rsid w:val="0085185F"/>
    <w:rsid w:val="008672C2"/>
    <w:rsid w:val="00893A91"/>
    <w:rsid w:val="008D3618"/>
    <w:rsid w:val="008E5FBC"/>
    <w:rsid w:val="00942F7E"/>
    <w:rsid w:val="009B62E7"/>
    <w:rsid w:val="009E0204"/>
    <w:rsid w:val="009E3725"/>
    <w:rsid w:val="009F73C6"/>
    <w:rsid w:val="00A17E8B"/>
    <w:rsid w:val="00A36E36"/>
    <w:rsid w:val="00A963AA"/>
    <w:rsid w:val="00B60D9F"/>
    <w:rsid w:val="00B85A1B"/>
    <w:rsid w:val="00BA002A"/>
    <w:rsid w:val="00BA293D"/>
    <w:rsid w:val="00BC53F1"/>
    <w:rsid w:val="00C0549D"/>
    <w:rsid w:val="00C12AB0"/>
    <w:rsid w:val="00C66121"/>
    <w:rsid w:val="00C80492"/>
    <w:rsid w:val="00C82436"/>
    <w:rsid w:val="00CA613E"/>
    <w:rsid w:val="00CD4467"/>
    <w:rsid w:val="00CF4D80"/>
    <w:rsid w:val="00DB727D"/>
    <w:rsid w:val="00DF6562"/>
    <w:rsid w:val="00E0115D"/>
    <w:rsid w:val="00E4362E"/>
    <w:rsid w:val="00E607C2"/>
    <w:rsid w:val="00E6251E"/>
    <w:rsid w:val="00E77CC1"/>
    <w:rsid w:val="00F54548"/>
    <w:rsid w:val="00F913FA"/>
    <w:rsid w:val="00FD0343"/>
    <w:rsid w:val="00FE30D6"/>
    <w:rsid w:val="0913567F"/>
    <w:rsid w:val="0C666426"/>
    <w:rsid w:val="0EA54AD8"/>
    <w:rsid w:val="0FE54136"/>
    <w:rsid w:val="124F46F3"/>
    <w:rsid w:val="18CC3CC8"/>
    <w:rsid w:val="1E5B5294"/>
    <w:rsid w:val="1FA5677A"/>
    <w:rsid w:val="26B4291F"/>
    <w:rsid w:val="27983C83"/>
    <w:rsid w:val="2B0E348A"/>
    <w:rsid w:val="3EA61BE9"/>
    <w:rsid w:val="401B2686"/>
    <w:rsid w:val="42301DD1"/>
    <w:rsid w:val="46462F83"/>
    <w:rsid w:val="5455279C"/>
    <w:rsid w:val="568B7456"/>
    <w:rsid w:val="57AC1698"/>
    <w:rsid w:val="59CB367A"/>
    <w:rsid w:val="5E5D2EAF"/>
    <w:rsid w:val="6484410A"/>
    <w:rsid w:val="66FD1BD5"/>
    <w:rsid w:val="697D4817"/>
    <w:rsid w:val="6CFE4DF5"/>
    <w:rsid w:val="6F3F532B"/>
    <w:rsid w:val="700F190E"/>
    <w:rsid w:val="78624097"/>
    <w:rsid w:val="7DC5770A"/>
    <w:rsid w:val="E7EBD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560" w:lineRule="exact"/>
      <w:jc w:val="center"/>
    </w:pPr>
    <w:rPr>
      <w:rFonts w:ascii="仿宋_GB2312" w:hAnsi="仿宋_GB2312" w:eastAsia="仿宋_GB2312" w:cstheme="minorBidi"/>
      <w:kern w:val="2"/>
      <w:sz w:val="32"/>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ody Text"/>
    <w:basedOn w:val="1"/>
    <w:next w:val="4"/>
    <w:link w:val="12"/>
    <w:qFormat/>
    <w:uiPriority w:val="0"/>
    <w:pPr>
      <w:ind w:firstLine="720" w:firstLineChars="200"/>
      <w:jc w:val="both"/>
    </w:pPr>
    <w:rPr>
      <w:rFonts w:ascii="华文新魏" w:hAnsi="Times New Roman" w:eastAsia="华文新魏" w:cs="Times New Roman"/>
      <w:kern w:val="0"/>
      <w:sz w:val="36"/>
    </w:rPr>
  </w:style>
  <w:style w:type="paragraph" w:styleId="4">
    <w:name w:val="Title"/>
    <w:basedOn w:val="1"/>
    <w:next w:val="1"/>
    <w:qFormat/>
    <w:uiPriority w:val="10"/>
    <w:pPr>
      <w:spacing w:before="240" w:after="60"/>
      <w:outlineLvl w:val="0"/>
    </w:pPr>
    <w:rPr>
      <w:rFonts w:ascii="Calibri Light" w:hAnsi="Calibri Light" w:eastAsia="宋体" w:cs="Times New Roman"/>
      <w:b/>
      <w:bCs/>
      <w:szCs w:val="32"/>
    </w:rPr>
  </w:style>
  <w:style w:type="paragraph" w:styleId="5">
    <w:name w:val="footer"/>
    <w:basedOn w:val="1"/>
    <w:link w:val="14"/>
    <w:qFormat/>
    <w:uiPriority w:val="99"/>
    <w:pPr>
      <w:tabs>
        <w:tab w:val="center" w:pos="4153"/>
        <w:tab w:val="right" w:pos="8306"/>
      </w:tabs>
      <w:snapToGrid w:val="0"/>
      <w:spacing w:line="240" w:lineRule="atLeast"/>
    </w:pPr>
    <w:rPr>
      <w:sz w:val="18"/>
      <w:szCs w:val="18"/>
    </w:rPr>
  </w:style>
  <w:style w:type="paragraph" w:styleId="6">
    <w:name w:val="header"/>
    <w:basedOn w:val="1"/>
    <w:link w:val="13"/>
    <w:qFormat/>
    <w:uiPriority w:val="0"/>
    <w:pPr>
      <w:tabs>
        <w:tab w:val="center" w:pos="4153"/>
        <w:tab w:val="right" w:pos="8306"/>
      </w:tabs>
      <w:snapToGrid w:val="0"/>
      <w:spacing w:line="240" w:lineRule="atLeast"/>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2"/>
    <w:next w:val="2"/>
    <w:link w:val="16"/>
    <w:qFormat/>
    <w:uiPriority w:val="0"/>
    <w:rPr>
      <w:b/>
      <w:bCs/>
    </w:rPr>
  </w:style>
  <w:style w:type="character" w:styleId="11">
    <w:name w:val="annotation reference"/>
    <w:basedOn w:val="10"/>
    <w:qFormat/>
    <w:uiPriority w:val="0"/>
    <w:rPr>
      <w:sz w:val="21"/>
      <w:szCs w:val="21"/>
    </w:rPr>
  </w:style>
  <w:style w:type="character" w:customStyle="1" w:styleId="12">
    <w:name w:val="正文文本 字符"/>
    <w:basedOn w:val="10"/>
    <w:link w:val="3"/>
    <w:qFormat/>
    <w:uiPriority w:val="0"/>
    <w:rPr>
      <w:rFonts w:ascii="华文新魏" w:eastAsia="华文新魏"/>
      <w:sz w:val="36"/>
      <w:szCs w:val="24"/>
    </w:rPr>
  </w:style>
  <w:style w:type="character" w:customStyle="1" w:styleId="13">
    <w:name w:val="页眉 字符"/>
    <w:basedOn w:val="10"/>
    <w:link w:val="6"/>
    <w:qFormat/>
    <w:uiPriority w:val="0"/>
    <w:rPr>
      <w:rFonts w:ascii="仿宋_GB2312" w:hAnsi="仿宋_GB2312" w:eastAsia="仿宋_GB2312"/>
      <w:kern w:val="2"/>
      <w:sz w:val="18"/>
      <w:szCs w:val="18"/>
    </w:rPr>
  </w:style>
  <w:style w:type="character" w:customStyle="1" w:styleId="14">
    <w:name w:val="页脚 字符"/>
    <w:basedOn w:val="10"/>
    <w:link w:val="5"/>
    <w:qFormat/>
    <w:uiPriority w:val="99"/>
    <w:rPr>
      <w:rFonts w:ascii="仿宋_GB2312" w:hAnsi="仿宋_GB2312" w:eastAsia="仿宋_GB2312" w:cstheme="minorBidi"/>
      <w:kern w:val="2"/>
      <w:sz w:val="18"/>
      <w:szCs w:val="18"/>
    </w:rPr>
  </w:style>
  <w:style w:type="character" w:customStyle="1" w:styleId="15">
    <w:name w:val="批注文字 字符"/>
    <w:basedOn w:val="10"/>
    <w:link w:val="2"/>
    <w:qFormat/>
    <w:uiPriority w:val="0"/>
    <w:rPr>
      <w:rFonts w:ascii="仿宋_GB2312" w:hAnsi="仿宋_GB2312" w:eastAsia="仿宋_GB2312"/>
      <w:kern w:val="2"/>
      <w:sz w:val="32"/>
      <w:szCs w:val="24"/>
    </w:rPr>
  </w:style>
  <w:style w:type="character" w:customStyle="1" w:styleId="16">
    <w:name w:val="批注主题 字符"/>
    <w:basedOn w:val="15"/>
    <w:link w:val="8"/>
    <w:qFormat/>
    <w:uiPriority w:val="0"/>
    <w:rPr>
      <w:rFonts w:ascii="仿宋_GB2312" w:hAnsi="仿宋_GB2312" w:eastAsia="仿宋_GB2312"/>
      <w:b/>
      <w:bCs/>
      <w:kern w:val="2"/>
      <w:sz w:val="32"/>
      <w:szCs w:val="24"/>
    </w:rPr>
  </w:style>
  <w:style w:type="paragraph" w:customStyle="1" w:styleId="17">
    <w:name w:val="修订1"/>
    <w:hidden/>
    <w:unhideWhenUsed/>
    <w:qFormat/>
    <w:uiPriority w:val="99"/>
    <w:pPr>
      <w:spacing w:after="160" w:line="278" w:lineRule="auto"/>
    </w:pPr>
    <w:rPr>
      <w:rFonts w:ascii="仿宋_GB2312" w:hAnsi="仿宋_GB2312" w:eastAsia="仿宋_GB2312" w:cstheme="minorBidi"/>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1232</Words>
  <Characters>1351</Characters>
  <Lines>10</Lines>
  <Paragraphs>2</Paragraphs>
  <TotalTime>58</TotalTime>
  <ScaleCrop>false</ScaleCrop>
  <LinksUpToDate>false</LinksUpToDate>
  <CharactersWithSpaces>1400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2024-04-21T22:50:00Z</dcterms:created>
  <dc:creator>Yuan Lin</dc:creator>
  <cp:lastModifiedBy>WPS_1690420078</cp:lastModifiedBy>
  <cp:lastPrinted>2024-06-25T21:55:00Z</cp:lastPrinted>
  <dcterms:modified xsi:type="dcterms:W3CDTF">2024-07-15T07:40:10Z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B168FA17C65941E0BD075232E34F4B80_11</vt:lpwstr>
  </property>
</Properties>
</file>