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r>
        <w:rPr>
          <w:rFonts w:hint="eastAsia" w:eastAsia="方正小标宋简体"/>
          <w:sz w:val="44"/>
          <w:szCs w:val="44"/>
        </w:rPr>
        <w:t>《北京通州经济开发区打造科技资源支撑型特色载体推动中小企业创新创业升级</w:t>
      </w:r>
    </w:p>
    <w:p>
      <w:pPr>
        <w:spacing w:line="560" w:lineRule="exact"/>
        <w:jc w:val="center"/>
        <w:rPr>
          <w:rFonts w:eastAsia="方正小标宋简体"/>
          <w:sz w:val="44"/>
          <w:szCs w:val="44"/>
        </w:rPr>
      </w:pPr>
      <w:r>
        <w:rPr>
          <w:rFonts w:hint="eastAsia" w:eastAsia="方正小标宋简体"/>
          <w:sz w:val="44"/>
          <w:szCs w:val="44"/>
        </w:rPr>
        <w:t>专项资金管理办法》实施细则</w:t>
      </w:r>
    </w:p>
    <w:p>
      <w:pPr>
        <w:spacing w:line="560" w:lineRule="exact"/>
        <w:jc w:val="center"/>
        <w:rPr>
          <w:rFonts w:eastAsia="方正小标宋简体"/>
          <w:sz w:val="44"/>
          <w:szCs w:val="44"/>
        </w:rPr>
      </w:pPr>
    </w:p>
    <w:p>
      <w:pPr>
        <w:spacing w:line="560" w:lineRule="exact"/>
        <w:ind w:firstLine="640" w:firstLineChars="200"/>
        <w:jc w:val="left"/>
        <w:rPr>
          <w:rFonts w:ascii="仿宋_GB2312" w:eastAsia="仿宋_GB2312"/>
          <w:sz w:val="32"/>
          <w:szCs w:val="30"/>
          <w:highlight w:val="none"/>
        </w:rPr>
      </w:pPr>
      <w:r>
        <w:rPr>
          <w:rFonts w:hint="eastAsia" w:ascii="仿宋_GB2312" w:eastAsia="仿宋_GB2312"/>
          <w:sz w:val="32"/>
          <w:szCs w:val="30"/>
          <w:highlight w:val="none"/>
        </w:rPr>
        <w:t>为有效落实《北京通州经济开发区打造科技资源支撑型特色载体推动中小企业创新创业升级专项资金管理办法》，特制定本实施细则。</w:t>
      </w:r>
    </w:p>
    <w:p>
      <w:pPr>
        <w:spacing w:line="560" w:lineRule="exact"/>
        <w:ind w:firstLine="640" w:firstLineChars="200"/>
        <w:outlineLvl w:val="0"/>
        <w:rPr>
          <w:rFonts w:eastAsia="黑体"/>
          <w:sz w:val="32"/>
          <w:szCs w:val="32"/>
          <w:highlight w:val="none"/>
        </w:rPr>
      </w:pPr>
      <w:r>
        <w:rPr>
          <w:rFonts w:hint="eastAsia" w:eastAsia="黑体"/>
          <w:sz w:val="32"/>
          <w:szCs w:val="32"/>
          <w:highlight w:val="none"/>
        </w:rPr>
        <w:t>一、支持方向与支持领域</w:t>
      </w:r>
    </w:p>
    <w:p>
      <w:pPr>
        <w:spacing w:line="560" w:lineRule="exact"/>
        <w:ind w:firstLine="643" w:firstLineChars="200"/>
        <w:rPr>
          <w:rFonts w:eastAsia="仿宋_GB2312"/>
          <w:sz w:val="32"/>
          <w:szCs w:val="32"/>
          <w:highlight w:val="none"/>
        </w:rPr>
      </w:pPr>
      <w:r>
        <w:rPr>
          <w:rFonts w:hint="eastAsia" w:eastAsia="仿宋_GB2312"/>
          <w:b/>
          <w:sz w:val="32"/>
          <w:szCs w:val="32"/>
          <w:highlight w:val="none"/>
        </w:rPr>
        <w:t>第一条 支持方向。</w:t>
      </w:r>
      <w:r>
        <w:rPr>
          <w:rFonts w:hint="eastAsia" w:eastAsia="仿宋_GB2312"/>
          <w:b w:val="0"/>
          <w:bCs/>
          <w:sz w:val="32"/>
          <w:szCs w:val="32"/>
          <w:highlight w:val="none"/>
        </w:rPr>
        <w:t>专项资金重点支持特色载体聚焦创新设计、城市科技、网络安全、智能制造、</w:t>
      </w:r>
      <w:r>
        <w:rPr>
          <w:rFonts w:hint="eastAsia" w:eastAsia="仿宋_GB2312"/>
          <w:b w:val="0"/>
          <w:bCs/>
          <w:sz w:val="32"/>
          <w:szCs w:val="32"/>
          <w:highlight w:val="none"/>
          <w:lang w:eastAsia="zh-CN"/>
        </w:rPr>
        <w:t>生物工程和新医药</w:t>
      </w:r>
      <w:bookmarkStart w:id="0" w:name="_GoBack"/>
      <w:bookmarkEnd w:id="0"/>
      <w:r>
        <w:rPr>
          <w:rFonts w:hint="eastAsia" w:eastAsia="仿宋_GB2312"/>
          <w:b w:val="0"/>
          <w:bCs/>
          <w:sz w:val="32"/>
          <w:szCs w:val="32"/>
          <w:highlight w:val="none"/>
        </w:rPr>
        <w:t>等产业领域创新发展，</w:t>
      </w:r>
      <w:r>
        <w:rPr>
          <w:rFonts w:hint="eastAsia" w:eastAsia="仿宋_GB2312"/>
          <w:sz w:val="32"/>
          <w:szCs w:val="32"/>
          <w:highlight w:val="none"/>
        </w:rPr>
        <w:t>链接大学、科研院所、大企业的创新服务资源，提升载体专业化市场化服务水平，吸引更多的科技人才创办企业，提高创新创业氛围与活力，提升科技资源融通效率质量，促进科技成果转化，整体提升载体创新创业孵育水平，营造区域良好的创新创业生态。</w:t>
      </w:r>
    </w:p>
    <w:p>
      <w:pPr>
        <w:spacing w:line="560" w:lineRule="exact"/>
        <w:ind w:firstLine="643" w:firstLineChars="200"/>
        <w:rPr>
          <w:rFonts w:eastAsia="黑体"/>
          <w:sz w:val="32"/>
          <w:szCs w:val="32"/>
          <w:highlight w:val="none"/>
        </w:rPr>
      </w:pPr>
      <w:r>
        <w:rPr>
          <w:rFonts w:hint="eastAsia" w:eastAsia="仿宋_GB2312"/>
          <w:b/>
          <w:sz w:val="32"/>
          <w:szCs w:val="32"/>
          <w:highlight w:val="none"/>
        </w:rPr>
        <w:t>第二条 支持领域</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支持围绕科技资源支撑型特色载体发展要求，打造具体项目，项目支持领域如下：</w:t>
      </w:r>
    </w:p>
    <w:p>
      <w:pPr>
        <w:spacing w:line="560" w:lineRule="exact"/>
        <w:ind w:firstLine="643" w:firstLineChars="200"/>
        <w:rPr>
          <w:rFonts w:eastAsia="仿宋_GB2312"/>
          <w:sz w:val="32"/>
          <w:szCs w:val="32"/>
          <w:highlight w:val="none"/>
        </w:rPr>
      </w:pPr>
      <w:r>
        <w:rPr>
          <w:rFonts w:hint="eastAsia" w:eastAsia="仿宋_GB2312"/>
          <w:b/>
          <w:sz w:val="32"/>
          <w:szCs w:val="32"/>
          <w:highlight w:val="none"/>
        </w:rPr>
        <w:t>（一）支持建设新型创新平台。</w:t>
      </w:r>
      <w:r>
        <w:rPr>
          <w:rFonts w:hint="eastAsia" w:eastAsia="仿宋_GB2312"/>
          <w:kern w:val="0"/>
          <w:sz w:val="32"/>
          <w:szCs w:val="32"/>
          <w:highlight w:val="none"/>
        </w:rPr>
        <w:t>支持申报单位与高校、院所、大企业等对接，深化产学研合作，建立新型研发机构、搭建重大科技创新平台等。</w:t>
      </w:r>
    </w:p>
    <w:p>
      <w:pPr>
        <w:spacing w:line="560" w:lineRule="exact"/>
        <w:ind w:firstLine="643" w:firstLineChars="200"/>
        <w:rPr>
          <w:rFonts w:eastAsia="仿宋_GB2312"/>
          <w:sz w:val="32"/>
          <w:szCs w:val="32"/>
          <w:highlight w:val="none"/>
        </w:rPr>
      </w:pPr>
      <w:r>
        <w:rPr>
          <w:rFonts w:hint="eastAsia" w:eastAsia="仿宋_GB2312"/>
          <w:b/>
          <w:sz w:val="32"/>
          <w:szCs w:val="32"/>
          <w:highlight w:val="none"/>
        </w:rPr>
        <w:t>（二）支持打造专业化孵化空间。</w:t>
      </w:r>
      <w:r>
        <w:rPr>
          <w:rFonts w:hint="eastAsia" w:eastAsia="仿宋_GB2312"/>
          <w:sz w:val="32"/>
          <w:szCs w:val="32"/>
          <w:highlight w:val="none"/>
        </w:rPr>
        <w:t>支持申报单位聚焦创新设计、城市科技、网络安全、智能制造等领域，联合高校、院所等打造新型孵化空间、共享办公空间等，完善专业化创新创业空间的科研仪器设备和配套服务能力。</w:t>
      </w:r>
    </w:p>
    <w:p>
      <w:pPr>
        <w:spacing w:line="560" w:lineRule="exact"/>
        <w:ind w:firstLine="643" w:firstLineChars="200"/>
        <w:rPr>
          <w:rFonts w:eastAsia="仿宋_GB2312"/>
          <w:sz w:val="32"/>
          <w:szCs w:val="32"/>
          <w:highlight w:val="none"/>
        </w:rPr>
      </w:pPr>
      <w:r>
        <w:rPr>
          <w:rFonts w:hint="eastAsia" w:eastAsia="仿宋_GB2312"/>
          <w:b/>
          <w:sz w:val="32"/>
          <w:szCs w:val="32"/>
          <w:highlight w:val="none"/>
        </w:rPr>
        <w:t>（三）支持建设公共技术服务平台。</w:t>
      </w:r>
      <w:r>
        <w:rPr>
          <w:rFonts w:hint="eastAsia" w:eastAsia="仿宋_GB2312"/>
          <w:sz w:val="32"/>
          <w:szCs w:val="32"/>
          <w:highlight w:val="none"/>
        </w:rPr>
        <w:t>支持特色载体与高校院所共建或自建公共技术服务平台、检验检测平台、中试转化平台等。支持特色载体改造升级已有公共技术服务类平台，通过购置硬件设备、升级系统及完善服务设施等提升平台服务能力。</w:t>
      </w:r>
    </w:p>
    <w:p>
      <w:pPr>
        <w:spacing w:line="560" w:lineRule="exact"/>
        <w:ind w:firstLine="643" w:firstLineChars="200"/>
        <w:rPr>
          <w:rFonts w:eastAsia="仿宋_GB2312"/>
          <w:b/>
          <w:sz w:val="32"/>
          <w:szCs w:val="32"/>
          <w:highlight w:val="none"/>
        </w:rPr>
      </w:pPr>
      <w:r>
        <w:rPr>
          <w:rFonts w:hint="eastAsia" w:eastAsia="仿宋_GB2312"/>
          <w:b/>
          <w:sz w:val="32"/>
          <w:szCs w:val="32"/>
          <w:highlight w:val="none"/>
        </w:rPr>
        <w:t>（四）支持建设资源开放共享平台。</w:t>
      </w:r>
      <w:r>
        <w:rPr>
          <w:rFonts w:hint="eastAsia" w:eastAsia="仿宋_GB2312"/>
          <w:sz w:val="32"/>
          <w:szCs w:val="32"/>
          <w:highlight w:val="none"/>
        </w:rPr>
        <w:t>支持特色载体集成整合高校院所、金融投资机构、科技成果转化机构、知识产权机构、供应链渠道等方面的服务资源，建设资源开放共享线上线下平台，为中小企业提供专业化服务。</w:t>
      </w:r>
    </w:p>
    <w:p>
      <w:pPr>
        <w:spacing w:line="560" w:lineRule="exact"/>
        <w:ind w:firstLine="643" w:firstLineChars="200"/>
        <w:rPr>
          <w:rFonts w:eastAsia="仿宋_GB2312"/>
          <w:sz w:val="32"/>
          <w:szCs w:val="32"/>
          <w:highlight w:val="none"/>
        </w:rPr>
      </w:pPr>
      <w:r>
        <w:rPr>
          <w:rFonts w:hint="eastAsia" w:eastAsia="仿宋_GB2312"/>
          <w:b/>
          <w:sz w:val="32"/>
          <w:szCs w:val="32"/>
          <w:highlight w:val="none"/>
        </w:rPr>
        <w:t>（五）支持购买专业化服务。</w:t>
      </w:r>
      <w:r>
        <w:rPr>
          <w:rFonts w:hint="eastAsia" w:eastAsia="仿宋_GB2312"/>
          <w:sz w:val="32"/>
          <w:szCs w:val="32"/>
          <w:highlight w:val="none"/>
        </w:rPr>
        <w:t>支持特色载体以购买服务形式为中小企业提供服务，按照开放性和资源共享性原则，为中小企业提供成果转移转化、检验检测认证、知识产权保护、人才引培、技术创新和产品研发财务指导、法律维权、市场拓展、管理咨询、设备共享等服务。</w:t>
      </w:r>
    </w:p>
    <w:p>
      <w:pPr>
        <w:spacing w:line="560" w:lineRule="exact"/>
        <w:ind w:firstLine="643" w:firstLineChars="200"/>
        <w:rPr>
          <w:rFonts w:eastAsia="仿宋_GB2312"/>
          <w:kern w:val="0"/>
          <w:sz w:val="32"/>
          <w:szCs w:val="32"/>
          <w:highlight w:val="none"/>
        </w:rPr>
      </w:pPr>
      <w:r>
        <w:rPr>
          <w:rFonts w:hint="eastAsia" w:eastAsia="仿宋_GB2312"/>
          <w:b/>
          <w:kern w:val="0"/>
          <w:sz w:val="32"/>
          <w:szCs w:val="32"/>
          <w:highlight w:val="none"/>
        </w:rPr>
        <w:t>（六）支持优化创新创业环境。</w:t>
      </w:r>
      <w:r>
        <w:rPr>
          <w:rFonts w:hint="eastAsia" w:eastAsia="仿宋_GB2312"/>
          <w:kern w:val="0"/>
          <w:sz w:val="32"/>
          <w:szCs w:val="32"/>
          <w:highlight w:val="none"/>
        </w:rPr>
        <w:t>支持特色载体搭建智慧化信息化服务系统；支持特色载体打造智慧生态空间；支持特色载体完善文化等配套服务设施。通过改造升级，为中小企业提供智慧化、生态化、人本化的创新创业环境。</w:t>
      </w:r>
    </w:p>
    <w:p>
      <w:pPr>
        <w:spacing w:line="560" w:lineRule="exact"/>
        <w:ind w:firstLine="643" w:firstLineChars="200"/>
        <w:rPr>
          <w:rFonts w:eastAsia="仿宋_GB2312"/>
          <w:sz w:val="32"/>
          <w:szCs w:val="32"/>
          <w:highlight w:val="none"/>
        </w:rPr>
      </w:pPr>
      <w:r>
        <w:rPr>
          <w:rFonts w:hint="eastAsia" w:eastAsia="仿宋_GB2312"/>
          <w:b/>
          <w:sz w:val="32"/>
          <w:szCs w:val="32"/>
          <w:highlight w:val="none"/>
        </w:rPr>
        <w:t>（七）支持提升培训服务功能。</w:t>
      </w:r>
      <w:r>
        <w:rPr>
          <w:rFonts w:hint="eastAsia" w:eastAsia="仿宋_GB2312"/>
          <w:sz w:val="32"/>
          <w:szCs w:val="32"/>
          <w:highlight w:val="none"/>
        </w:rPr>
        <w:t>支持特色载体通过购买服务或联合高校院所等形式，开设双创培训课程，为创业者和创业企业提供管理培训、技术培训、法律培训等各种培训服务。支持载体联合高校院所、知名创业孵化载体、知名企业开展资源对接，为创业者和创业企业提供高管游学、融资路演、投融资对接等服务。</w:t>
      </w:r>
    </w:p>
    <w:p>
      <w:pPr>
        <w:spacing w:line="560" w:lineRule="exact"/>
        <w:ind w:firstLine="643" w:firstLineChars="200"/>
        <w:rPr>
          <w:rFonts w:eastAsia="仿宋_GB2312"/>
          <w:sz w:val="32"/>
          <w:szCs w:val="32"/>
          <w:highlight w:val="none"/>
        </w:rPr>
      </w:pPr>
      <w:r>
        <w:rPr>
          <w:rFonts w:hint="eastAsia" w:eastAsia="仿宋_GB2312"/>
          <w:b/>
          <w:sz w:val="32"/>
          <w:szCs w:val="32"/>
          <w:highlight w:val="none"/>
        </w:rPr>
        <w:t>（八）支持载体举办品牌创新创业活动。</w:t>
      </w:r>
      <w:r>
        <w:rPr>
          <w:rFonts w:hint="eastAsia" w:eastAsia="仿宋_GB2312"/>
          <w:sz w:val="32"/>
          <w:szCs w:val="32"/>
          <w:highlight w:val="none"/>
        </w:rPr>
        <w:t>支持特色载体联合高校院所、知名双创载体、知名企业、投融资机构等相关机构开展在全市、国内乃至国际具有影响力的品牌活动，如创新创业大赛、专题论坛、项目路演、企业家交流会和专项对接活动等。</w:t>
      </w:r>
    </w:p>
    <w:p>
      <w:pPr>
        <w:spacing w:line="560" w:lineRule="exact"/>
        <w:ind w:firstLine="640" w:firstLineChars="200"/>
        <w:outlineLvl w:val="0"/>
        <w:rPr>
          <w:rFonts w:eastAsia="黑体"/>
          <w:sz w:val="32"/>
          <w:szCs w:val="32"/>
          <w:highlight w:val="none"/>
        </w:rPr>
      </w:pPr>
      <w:r>
        <w:rPr>
          <w:rFonts w:hint="eastAsia" w:eastAsia="黑体"/>
          <w:sz w:val="32"/>
          <w:szCs w:val="32"/>
          <w:highlight w:val="none"/>
        </w:rPr>
        <w:t>二、申报方式、申报对象及条件</w:t>
      </w:r>
    </w:p>
    <w:p>
      <w:pPr>
        <w:spacing w:line="560" w:lineRule="exact"/>
        <w:ind w:firstLine="643" w:firstLineChars="200"/>
        <w:rPr>
          <w:rFonts w:eastAsia="仿宋_GB2312"/>
          <w:b/>
          <w:sz w:val="32"/>
          <w:szCs w:val="32"/>
          <w:highlight w:val="none"/>
        </w:rPr>
      </w:pPr>
      <w:r>
        <w:rPr>
          <w:rFonts w:hint="eastAsia" w:eastAsia="仿宋_GB2312"/>
          <w:b/>
          <w:sz w:val="32"/>
          <w:szCs w:val="32"/>
          <w:highlight w:val="none"/>
        </w:rPr>
        <w:t>第三条 申报方式。</w:t>
      </w:r>
      <w:r>
        <w:rPr>
          <w:rFonts w:hint="eastAsia" w:eastAsia="仿宋_GB2312"/>
          <w:sz w:val="32"/>
          <w:szCs w:val="32"/>
          <w:highlight w:val="none"/>
        </w:rPr>
        <w:t>以项目方式进行申报。</w:t>
      </w:r>
    </w:p>
    <w:p>
      <w:pPr>
        <w:spacing w:line="560" w:lineRule="exact"/>
        <w:ind w:firstLine="643" w:firstLineChars="200"/>
        <w:rPr>
          <w:rFonts w:eastAsia="仿宋_GB2312"/>
          <w:b/>
          <w:sz w:val="32"/>
          <w:szCs w:val="32"/>
          <w:highlight w:val="none"/>
        </w:rPr>
      </w:pPr>
      <w:r>
        <w:rPr>
          <w:rFonts w:hint="eastAsia" w:eastAsia="仿宋_GB2312"/>
          <w:b/>
          <w:sz w:val="32"/>
          <w:szCs w:val="32"/>
          <w:highlight w:val="none"/>
        </w:rPr>
        <w:t xml:space="preserve">第四条 申报对象： </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（一）申报单位应具备条件</w:t>
      </w:r>
    </w:p>
    <w:p>
      <w:pPr>
        <w:spacing w:line="56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申报单位为特色载体的运营主体</w:t>
      </w:r>
      <w:r>
        <w:rPr>
          <w:rFonts w:hint="eastAsia" w:eastAsia="仿宋_GB2312"/>
          <w:sz w:val="32"/>
          <w:szCs w:val="32"/>
          <w:highlight w:val="none"/>
          <w:lang w:eastAsia="zh-CN"/>
        </w:rPr>
        <w:t>，且注册地址在通州区范围内</w:t>
      </w:r>
      <w:r>
        <w:rPr>
          <w:rFonts w:hint="eastAsia" w:eastAsia="仿宋_GB2312"/>
          <w:sz w:val="32"/>
          <w:szCs w:val="32"/>
          <w:highlight w:val="none"/>
        </w:rPr>
        <w:t>。</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2.申报单位运营的特色载体需在中关村科技园区通州园范围内；</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w:t>
      </w:r>
      <w:r>
        <w:rPr>
          <w:rFonts w:hint="eastAsia" w:eastAsia="仿宋_GB2312"/>
          <w:sz w:val="32"/>
          <w:szCs w:val="32"/>
          <w:highlight w:val="none"/>
        </w:rPr>
        <w:t>申报单位申报时未被列入失信被执行人名单，且最近三年内须无不良信用和行为记录；</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4</w:t>
      </w:r>
      <w:r>
        <w:rPr>
          <w:rFonts w:eastAsia="仿宋_GB2312"/>
          <w:sz w:val="32"/>
          <w:szCs w:val="32"/>
          <w:highlight w:val="none"/>
        </w:rPr>
        <w:t>.</w:t>
      </w:r>
      <w:r>
        <w:rPr>
          <w:rFonts w:hint="eastAsia" w:eastAsia="仿宋_GB2312"/>
          <w:sz w:val="32"/>
          <w:szCs w:val="32"/>
          <w:highlight w:val="none"/>
        </w:rPr>
        <w:t>申报单位须具备较强的资金筹措、项目实施能力；</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5</w:t>
      </w:r>
      <w:r>
        <w:rPr>
          <w:rFonts w:eastAsia="仿宋_GB2312"/>
          <w:sz w:val="32"/>
          <w:szCs w:val="32"/>
          <w:highlight w:val="none"/>
        </w:rPr>
        <w:t>.</w:t>
      </w:r>
      <w:r>
        <w:rPr>
          <w:rFonts w:hint="eastAsia" w:eastAsia="仿宋_GB2312"/>
          <w:sz w:val="32"/>
          <w:szCs w:val="32"/>
          <w:highlight w:val="none"/>
        </w:rPr>
        <w:t>申报单位须按照预算编制说明填写项目资金预算表，规范使用专项资金，强化资金使用绩效评价；</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6</w:t>
      </w:r>
      <w:r>
        <w:rPr>
          <w:rFonts w:eastAsia="仿宋_GB2312"/>
          <w:sz w:val="32"/>
          <w:szCs w:val="32"/>
          <w:highlight w:val="none"/>
        </w:rPr>
        <w:t>.</w:t>
      </w:r>
      <w:r>
        <w:rPr>
          <w:rFonts w:hint="eastAsia" w:eastAsia="仿宋_GB2312"/>
          <w:sz w:val="32"/>
          <w:szCs w:val="32"/>
          <w:highlight w:val="none"/>
        </w:rPr>
        <w:t>申报单位须严格执行国家有关政策要求，严禁转移、侵占或者挪用专项资金；</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7</w:t>
      </w:r>
      <w:r>
        <w:rPr>
          <w:rFonts w:eastAsia="仿宋_GB2312"/>
          <w:sz w:val="32"/>
          <w:szCs w:val="32"/>
          <w:highlight w:val="none"/>
        </w:rPr>
        <w:t>.</w:t>
      </w:r>
      <w:r>
        <w:rPr>
          <w:rFonts w:hint="eastAsia" w:eastAsia="仿宋_GB2312"/>
          <w:sz w:val="32"/>
          <w:szCs w:val="32"/>
          <w:highlight w:val="none"/>
        </w:rPr>
        <w:t>对已获得中央财政其他资金支持的项目不再予以重复支持。</w:t>
      </w:r>
    </w:p>
    <w:p>
      <w:pPr>
        <w:spacing w:line="560" w:lineRule="exact"/>
        <w:ind w:firstLine="643" w:firstLineChars="200"/>
        <w:rPr>
          <w:rFonts w:eastAsia="仿宋_GB2312"/>
          <w:b/>
          <w:sz w:val="32"/>
          <w:szCs w:val="32"/>
          <w:highlight w:val="none"/>
        </w:rPr>
      </w:pPr>
      <w:r>
        <w:rPr>
          <w:rFonts w:hint="eastAsia" w:eastAsia="仿宋_GB2312"/>
          <w:b/>
          <w:sz w:val="32"/>
          <w:szCs w:val="32"/>
          <w:highlight w:val="none"/>
        </w:rPr>
        <w:t>第五条 申报项目应具备条件</w:t>
      </w:r>
    </w:p>
    <w:p>
      <w:pPr>
        <w:spacing w:line="560" w:lineRule="exact"/>
        <w:ind w:firstLine="640" w:firstLineChars="200"/>
        <w:rPr>
          <w:rFonts w:eastAsia="仿宋_GB2312"/>
          <w:sz w:val="32"/>
          <w:szCs w:val="32"/>
          <w:highlight w:val="none"/>
        </w:rPr>
      </w:pPr>
      <w:r>
        <w:rPr>
          <w:rFonts w:eastAsia="仿宋_GB2312"/>
          <w:sz w:val="32"/>
          <w:szCs w:val="32"/>
          <w:highlight w:val="none"/>
        </w:rPr>
        <w:t>1.申报项目必须符合上述支持领域，每批次征集单个特色载体仅可申报一个项目，可围绕1个或多个领域设计项目内容</w:t>
      </w:r>
      <w:r>
        <w:rPr>
          <w:rFonts w:hint="eastAsia" w:eastAsia="仿宋_GB2312"/>
          <w:sz w:val="32"/>
          <w:szCs w:val="32"/>
          <w:highlight w:val="none"/>
        </w:rPr>
        <w:t>；</w:t>
      </w:r>
    </w:p>
    <w:p>
      <w:pPr>
        <w:spacing w:line="560" w:lineRule="exact"/>
        <w:ind w:firstLine="640" w:firstLineChars="200"/>
        <w:rPr>
          <w:rFonts w:eastAsia="仿宋_GB2312"/>
          <w:sz w:val="32"/>
          <w:szCs w:val="32"/>
          <w:highlight w:val="none"/>
        </w:rPr>
      </w:pPr>
      <w:r>
        <w:rPr>
          <w:rFonts w:eastAsia="仿宋_GB2312"/>
          <w:sz w:val="32"/>
          <w:szCs w:val="32"/>
          <w:highlight w:val="none"/>
        </w:rPr>
        <w:t>2.</w:t>
      </w:r>
      <w:r>
        <w:rPr>
          <w:rFonts w:hint="eastAsia" w:eastAsia="仿宋_GB2312"/>
          <w:sz w:val="32"/>
          <w:szCs w:val="32"/>
          <w:highlight w:val="none"/>
        </w:rPr>
        <w:t>申报项目实施内容地点在中关村科技园区通州园；</w:t>
      </w:r>
    </w:p>
    <w:p>
      <w:pPr>
        <w:spacing w:line="560" w:lineRule="exact"/>
        <w:ind w:firstLine="640" w:firstLineChars="200"/>
        <w:rPr>
          <w:rFonts w:eastAsia="仿宋_GB2312"/>
          <w:sz w:val="32"/>
          <w:szCs w:val="32"/>
          <w:highlight w:val="none"/>
        </w:rPr>
      </w:pPr>
      <w:r>
        <w:rPr>
          <w:rFonts w:eastAsia="仿宋_GB2312"/>
          <w:sz w:val="32"/>
          <w:szCs w:val="32"/>
          <w:highlight w:val="none"/>
        </w:rPr>
        <w:t>3.</w:t>
      </w:r>
      <w:r>
        <w:rPr>
          <w:rFonts w:hint="eastAsia" w:eastAsia="仿宋_GB2312"/>
          <w:sz w:val="32"/>
          <w:szCs w:val="32"/>
          <w:highlight w:val="none"/>
        </w:rPr>
        <w:t>申报项目应为已经开展或具备开展条件的项目，申报项目</w:t>
      </w:r>
      <w:r>
        <w:rPr>
          <w:rFonts w:eastAsia="仿宋_GB2312"/>
          <w:sz w:val="32"/>
          <w:szCs w:val="32"/>
          <w:highlight w:val="none"/>
        </w:rPr>
        <w:t>自筹资金与</w:t>
      </w:r>
      <w:r>
        <w:rPr>
          <w:rFonts w:hint="eastAsia" w:eastAsia="仿宋_GB2312"/>
          <w:sz w:val="32"/>
          <w:szCs w:val="32"/>
          <w:highlight w:val="none"/>
        </w:rPr>
        <w:t>确定支持</w:t>
      </w:r>
      <w:r>
        <w:rPr>
          <w:rFonts w:eastAsia="仿宋_GB2312"/>
          <w:sz w:val="32"/>
          <w:szCs w:val="32"/>
          <w:highlight w:val="none"/>
        </w:rPr>
        <w:t>资金比例原则上不低于1:1</w:t>
      </w:r>
      <w:r>
        <w:rPr>
          <w:rFonts w:hint="eastAsia" w:eastAsia="仿宋_GB2312"/>
          <w:sz w:val="32"/>
          <w:szCs w:val="32"/>
          <w:highlight w:val="none"/>
        </w:rPr>
        <w:t>，项目建设周期不超过</w:t>
      </w:r>
      <w:r>
        <w:rPr>
          <w:rFonts w:hint="eastAsia" w:eastAsia="仿宋_GB2312"/>
          <w:sz w:val="32"/>
          <w:szCs w:val="32"/>
          <w:highlight w:val="none"/>
          <w:lang w:val="en-US" w:eastAsia="zh-CN"/>
        </w:rPr>
        <w:t>2022年3月底</w:t>
      </w:r>
      <w:r>
        <w:rPr>
          <w:rFonts w:hint="eastAsia" w:eastAsia="仿宋_GB2312"/>
          <w:sz w:val="32"/>
          <w:szCs w:val="32"/>
          <w:highlight w:val="none"/>
        </w:rPr>
        <w:t>。</w:t>
      </w:r>
    </w:p>
    <w:p>
      <w:pPr>
        <w:spacing w:line="560" w:lineRule="exact"/>
        <w:ind w:firstLine="640" w:firstLineChars="200"/>
        <w:outlineLvl w:val="0"/>
        <w:rPr>
          <w:highlight w:val="none"/>
        </w:rPr>
      </w:pPr>
      <w:r>
        <w:rPr>
          <w:rFonts w:hint="eastAsia" w:eastAsia="黑体"/>
          <w:sz w:val="32"/>
          <w:szCs w:val="32"/>
          <w:highlight w:val="none"/>
        </w:rPr>
        <w:t>三、申报材料</w:t>
      </w:r>
    </w:p>
    <w:p>
      <w:pPr>
        <w:spacing w:line="360" w:lineRule="auto"/>
        <w:ind w:firstLine="643" w:firstLineChars="200"/>
        <w:jc w:val="left"/>
        <w:rPr>
          <w:rFonts w:eastAsia="仿宋_GB2312"/>
          <w:sz w:val="32"/>
          <w:szCs w:val="32"/>
          <w:highlight w:val="none"/>
        </w:rPr>
      </w:pPr>
      <w:r>
        <w:rPr>
          <w:rFonts w:hint="eastAsia" w:eastAsia="仿宋_GB2312"/>
          <w:b/>
          <w:sz w:val="32"/>
          <w:szCs w:val="32"/>
          <w:highlight w:val="none"/>
        </w:rPr>
        <w:t xml:space="preserve">第六条 </w:t>
      </w:r>
      <w:r>
        <w:rPr>
          <w:rFonts w:hint="eastAsia" w:eastAsia="仿宋_GB2312"/>
          <w:sz w:val="32"/>
          <w:szCs w:val="32"/>
          <w:highlight w:val="none"/>
        </w:rPr>
        <w:t>申报单位需根据项目申报指南要求提供相关材料，包括申报书及相关证明资料等。</w:t>
      </w:r>
    </w:p>
    <w:p>
      <w:pPr>
        <w:spacing w:line="560" w:lineRule="exact"/>
        <w:ind w:firstLine="640" w:firstLineChars="200"/>
        <w:outlineLvl w:val="0"/>
        <w:rPr>
          <w:rFonts w:eastAsia="黑体"/>
          <w:sz w:val="32"/>
          <w:szCs w:val="32"/>
          <w:highlight w:val="none"/>
        </w:rPr>
      </w:pPr>
      <w:r>
        <w:rPr>
          <w:rFonts w:hint="eastAsia" w:eastAsia="黑体"/>
          <w:sz w:val="32"/>
          <w:szCs w:val="32"/>
          <w:highlight w:val="none"/>
        </w:rPr>
        <w:t>四、申报程序</w:t>
      </w:r>
    </w:p>
    <w:p>
      <w:pPr>
        <w:spacing w:line="360" w:lineRule="auto"/>
        <w:ind w:firstLine="643" w:firstLineChars="200"/>
        <w:jc w:val="left"/>
        <w:rPr>
          <w:rFonts w:eastAsia="仿宋_GB2312"/>
          <w:sz w:val="30"/>
          <w:szCs w:val="30"/>
          <w:highlight w:val="none"/>
        </w:rPr>
      </w:pPr>
      <w:r>
        <w:rPr>
          <w:rFonts w:hint="eastAsia" w:ascii="仿宋_GB2312" w:eastAsia="仿宋_GB2312"/>
          <w:b/>
          <w:sz w:val="32"/>
          <w:szCs w:val="32"/>
          <w:highlight w:val="none"/>
        </w:rPr>
        <w:t>第七条 申报时间。</w:t>
      </w:r>
      <w:r>
        <w:rPr>
          <w:rFonts w:hint="eastAsia" w:eastAsia="仿宋_GB2312"/>
          <w:sz w:val="32"/>
          <w:szCs w:val="32"/>
          <w:highlight w:val="none"/>
        </w:rPr>
        <w:t>中关村科技园区通州园</w:t>
      </w:r>
      <w:r>
        <w:rPr>
          <w:rFonts w:hint="eastAsia" w:ascii="仿宋_GB2312" w:eastAsia="仿宋_GB2312"/>
          <w:sz w:val="32"/>
          <w:szCs w:val="32"/>
          <w:highlight w:val="none"/>
        </w:rPr>
        <w:t>管委会（以下简称“通州园管委会”）向社会公开发布专项资金项目申报通知，具体时间以发布申报通知为准。</w:t>
      </w:r>
    </w:p>
    <w:p>
      <w:pPr>
        <w:spacing w:line="560" w:lineRule="exact"/>
        <w:ind w:firstLine="643" w:firstLineChars="200"/>
        <w:rPr>
          <w:rFonts w:hint="eastAsia" w:ascii="仿宋_GB2312" w:eastAsia="仿宋_GB2312"/>
          <w:sz w:val="32"/>
          <w:szCs w:val="32"/>
          <w:highlight w:val="none"/>
        </w:rPr>
      </w:pPr>
      <w:r>
        <w:rPr>
          <w:rFonts w:hint="eastAsia" w:ascii="仿宋_GB2312" w:eastAsia="仿宋_GB2312"/>
          <w:b/>
          <w:sz w:val="32"/>
          <w:szCs w:val="32"/>
          <w:highlight w:val="none"/>
        </w:rPr>
        <w:t>第八条 申报评审。</w:t>
      </w:r>
      <w:r>
        <w:rPr>
          <w:rFonts w:hint="eastAsia" w:ascii="仿宋_GB2312" w:eastAsia="仿宋_GB2312"/>
          <w:sz w:val="32"/>
          <w:szCs w:val="32"/>
          <w:highlight w:val="none"/>
        </w:rPr>
        <w:t>通州园管委会、</w:t>
      </w:r>
      <w:r>
        <w:rPr>
          <w:rFonts w:hint="eastAsia" w:ascii="仿宋_GB2312" w:eastAsia="仿宋_GB2312"/>
          <w:color w:val="000000" w:themeColor="text1"/>
          <w:sz w:val="32"/>
          <w:szCs w:val="32"/>
          <w:highlight w:val="none"/>
          <w14:textFill>
            <w14:solidFill>
              <w14:schemeClr w14:val="tx1"/>
            </w14:solidFill>
          </w14:textFill>
        </w:rPr>
        <w:t>北京市通州区科学技术委员会（以下简称“区科委”）</w:t>
      </w:r>
      <w:r>
        <w:rPr>
          <w:rFonts w:hint="eastAsia" w:ascii="仿宋_GB2312" w:eastAsia="仿宋_GB2312"/>
          <w:sz w:val="32"/>
          <w:szCs w:val="32"/>
          <w:highlight w:val="none"/>
        </w:rPr>
        <w:t>联合对申报材料进行合规性审核，审核不合格的，申报单位在3个工作日内可重新提交申请材料，未按规定重新提交申请材料，视为自动放弃申请。</w:t>
      </w:r>
    </w:p>
    <w:p>
      <w:pPr>
        <w:spacing w:line="560" w:lineRule="exact"/>
        <w:ind w:firstLine="643"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sz w:val="32"/>
          <w:szCs w:val="32"/>
          <w:highlight w:val="none"/>
        </w:rPr>
        <w:t>第九条 评审确认。</w:t>
      </w:r>
      <w:r>
        <w:rPr>
          <w:rFonts w:hint="eastAsia" w:ascii="仿宋_GB2312" w:eastAsia="仿宋_GB2312"/>
          <w:sz w:val="32"/>
          <w:szCs w:val="32"/>
          <w:highlight w:val="none"/>
        </w:rPr>
        <w:t>材料合规性审核结束后，通州园管委会</w:t>
      </w:r>
      <w:r>
        <w:rPr>
          <w:rFonts w:hint="eastAsia" w:ascii="仿宋_GB2312" w:eastAsia="仿宋_GB2312"/>
          <w:color w:val="000000" w:themeColor="text1"/>
          <w:sz w:val="32"/>
          <w:szCs w:val="32"/>
          <w:highlight w:val="none"/>
          <w14:textFill>
            <w14:solidFill>
              <w14:schemeClr w14:val="tx1"/>
            </w14:solidFill>
          </w14:textFill>
        </w:rPr>
        <w:t>联合区科委组织</w:t>
      </w:r>
      <w:r>
        <w:rPr>
          <w:rFonts w:hint="eastAsia" w:ascii="仿宋_GB2312" w:eastAsia="仿宋_GB2312"/>
          <w:sz w:val="32"/>
          <w:szCs w:val="32"/>
          <w:highlight w:val="none"/>
        </w:rPr>
        <w:t>专家评审，根据专家评审结果确定支持项目和支持金额，形成专项资金支持项目名单，</w:t>
      </w:r>
      <w:r>
        <w:rPr>
          <w:rFonts w:hint="eastAsia" w:ascii="仿宋_GB2312" w:eastAsia="仿宋_GB2312"/>
          <w:color w:val="000000" w:themeColor="text1"/>
          <w:sz w:val="32"/>
          <w:szCs w:val="32"/>
          <w:highlight w:val="none"/>
          <w14:textFill>
            <w14:solidFill>
              <w14:schemeClr w14:val="tx1"/>
            </w14:solidFill>
          </w14:textFill>
        </w:rPr>
        <w:t>报请通州园管委会专题会审议。</w:t>
      </w:r>
    </w:p>
    <w:p>
      <w:pPr>
        <w:spacing w:line="560" w:lineRule="exact"/>
        <w:ind w:firstLine="643"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sz w:val="32"/>
          <w:szCs w:val="32"/>
          <w:highlight w:val="none"/>
        </w:rPr>
        <w:t>第十条 公示</w:t>
      </w:r>
      <w:r>
        <w:rPr>
          <w:rFonts w:hint="eastAsia" w:ascii="仿宋_GB2312" w:eastAsia="仿宋_GB2312"/>
          <w:sz w:val="32"/>
          <w:szCs w:val="32"/>
          <w:highlight w:val="none"/>
        </w:rPr>
        <w:t>。经审议通过后，在北京市通州区人民政府政务公开平台上向社会公示专项资金支持项目名单，公示期不少于5个工作日。</w:t>
      </w:r>
      <w:r>
        <w:rPr>
          <w:rFonts w:hint="eastAsia" w:ascii="仿宋_GB2312" w:eastAsia="仿宋_GB2312"/>
          <w:color w:val="000000" w:themeColor="text1"/>
          <w:sz w:val="32"/>
          <w:szCs w:val="32"/>
          <w:highlight w:val="none"/>
          <w14:textFill>
            <w14:solidFill>
              <w14:schemeClr w14:val="tx1"/>
            </w14:solidFill>
          </w14:textFill>
        </w:rPr>
        <w:t>公示期间，申报单位如有疑义可报请相关部门复审。</w:t>
      </w:r>
    </w:p>
    <w:p>
      <w:pPr>
        <w:spacing w:line="560"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第十一条</w:t>
      </w:r>
      <w:r>
        <w:rPr>
          <w:rFonts w:ascii="仿宋_GB2312" w:eastAsia="仿宋_GB2312"/>
          <w:b/>
          <w:sz w:val="32"/>
          <w:szCs w:val="32"/>
          <w:highlight w:val="none"/>
        </w:rPr>
        <w:t xml:space="preserve"> </w:t>
      </w:r>
      <w:r>
        <w:rPr>
          <w:rFonts w:hint="eastAsia" w:ascii="仿宋_GB2312" w:eastAsia="仿宋_GB2312"/>
          <w:b/>
          <w:sz w:val="32"/>
          <w:szCs w:val="32"/>
          <w:highlight w:val="none"/>
        </w:rPr>
        <w:t>资金拨付。</w:t>
      </w:r>
      <w:r>
        <w:rPr>
          <w:rFonts w:hint="eastAsia" w:ascii="仿宋_GB2312" w:eastAsia="仿宋_GB2312"/>
          <w:b w:val="0"/>
          <w:bCs/>
          <w:sz w:val="32"/>
          <w:szCs w:val="32"/>
          <w:highlight w:val="none"/>
        </w:rPr>
        <w:t>获批支持的项目经公示无异议后，由项目单位在3个工作日内正式向通州园管委会递交项目任务书，通州园管委会拨付资金给项目单位。</w:t>
      </w:r>
    </w:p>
    <w:p>
      <w:pPr>
        <w:spacing w:line="560"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第十二条 项目验收。</w:t>
      </w:r>
      <w:r>
        <w:rPr>
          <w:rFonts w:hint="eastAsia" w:ascii="仿宋_GB2312" w:eastAsia="仿宋_GB2312"/>
          <w:sz w:val="32"/>
          <w:szCs w:val="32"/>
          <w:highlight w:val="none"/>
        </w:rPr>
        <w:t>项目完成后，项目单位向通州园管委会提出验收申请，提交项目审计报告等验收材料。通州园管委会、区科委及时组织项目验收，对不能按期完成任务要求的项目，提出明确处理意见。</w:t>
      </w:r>
    </w:p>
    <w:p>
      <w:pPr>
        <w:spacing w:line="560" w:lineRule="exact"/>
        <w:ind w:firstLine="640" w:firstLineChars="200"/>
        <w:outlineLvl w:val="0"/>
        <w:rPr>
          <w:rFonts w:eastAsia="黑体"/>
          <w:sz w:val="32"/>
          <w:szCs w:val="32"/>
          <w:highlight w:val="none"/>
        </w:rPr>
      </w:pPr>
      <w:r>
        <w:rPr>
          <w:rFonts w:hint="eastAsia" w:eastAsia="黑体"/>
          <w:sz w:val="32"/>
          <w:szCs w:val="32"/>
          <w:highlight w:val="none"/>
        </w:rPr>
        <w:t>五、项目管理监督</w:t>
      </w:r>
    </w:p>
    <w:p>
      <w:pPr>
        <w:spacing w:line="520" w:lineRule="exact"/>
        <w:ind w:firstLine="643" w:firstLineChars="200"/>
        <w:rPr>
          <w:rFonts w:hint="eastAsia" w:ascii="仿宋_GB2312" w:eastAsia="仿宋_GB2312"/>
          <w:sz w:val="32"/>
          <w:szCs w:val="32"/>
          <w:highlight w:val="none"/>
        </w:rPr>
      </w:pPr>
      <w:r>
        <w:rPr>
          <w:rFonts w:hint="eastAsia" w:ascii="仿宋_GB2312" w:eastAsia="仿宋_GB2312"/>
          <w:b/>
          <w:sz w:val="32"/>
          <w:szCs w:val="32"/>
          <w:highlight w:val="none"/>
        </w:rPr>
        <w:t>第十二条</w:t>
      </w:r>
      <w:r>
        <w:rPr>
          <w:rFonts w:hint="eastAsia" w:ascii="仿宋_GB2312" w:eastAsia="仿宋_GB2312"/>
          <w:sz w:val="32"/>
          <w:szCs w:val="32"/>
          <w:highlight w:val="none"/>
        </w:rPr>
        <w:t xml:space="preserve"> 项目实施过程中，项目单位应按月向通州园管委会报送工作进展、绩效指标完成进展和资金使用进度。</w:t>
      </w:r>
    </w:p>
    <w:p>
      <w:pPr>
        <w:spacing w:line="520"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 xml:space="preserve">第十三条 </w:t>
      </w:r>
      <w:r>
        <w:rPr>
          <w:rFonts w:hint="eastAsia" w:ascii="仿宋_GB2312" w:eastAsia="仿宋_GB2312"/>
          <w:sz w:val="32"/>
          <w:szCs w:val="32"/>
          <w:highlight w:val="none"/>
        </w:rPr>
        <w:t>项目单位应建立完善的财务管理制度，实行专项资金专款专用、专账核算。</w:t>
      </w:r>
    </w:p>
    <w:p>
      <w:pPr>
        <w:spacing w:line="520"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 xml:space="preserve">第十四条 </w:t>
      </w:r>
      <w:r>
        <w:rPr>
          <w:rFonts w:hint="eastAsia" w:ascii="仿宋_GB2312" w:eastAsia="仿宋_GB2312"/>
          <w:sz w:val="32"/>
          <w:szCs w:val="32"/>
          <w:highlight w:val="none"/>
        </w:rPr>
        <w:t>通州园管委会、区科委加强对项目实施的监督检查，接受对特色载体专项资金申报过程、使用过程中违规行为的反映和举报。</w:t>
      </w:r>
    </w:p>
    <w:p>
      <w:pPr>
        <w:spacing w:line="560"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 xml:space="preserve">第十五条 </w:t>
      </w:r>
      <w:r>
        <w:rPr>
          <w:rFonts w:hint="eastAsia" w:ascii="仿宋_GB2312" w:eastAsia="仿宋_GB2312"/>
          <w:sz w:val="32"/>
          <w:szCs w:val="32"/>
          <w:highlight w:val="none"/>
        </w:rPr>
        <w:t>项目单位应严格按照资金支持要求提交材料，并接受相关单位监督检查，不得以任何手段骗取专项资金。以弄虚作假、虚报冒领等手段骗取专项资金或违反国家有关法律、法规和财政规章制度，挤占、挪用专项资金的，一经查实，将追回发放的补助资金。同时，按照《财政违法行为处罚处分条例》和国家有关规定进行处理。涉嫌犯罪的，移交司法机关处理。</w:t>
      </w:r>
    </w:p>
    <w:p>
      <w:pPr>
        <w:spacing w:line="560" w:lineRule="exact"/>
        <w:ind w:firstLine="640" w:firstLineChars="200"/>
        <w:outlineLvl w:val="0"/>
        <w:rPr>
          <w:rFonts w:eastAsia="黑体"/>
          <w:sz w:val="32"/>
          <w:szCs w:val="32"/>
          <w:highlight w:val="none"/>
        </w:rPr>
      </w:pPr>
      <w:r>
        <w:rPr>
          <w:rFonts w:hint="eastAsia" w:eastAsia="黑体"/>
          <w:sz w:val="32"/>
          <w:szCs w:val="32"/>
          <w:highlight w:val="none"/>
        </w:rPr>
        <w:t>六、附则</w:t>
      </w:r>
    </w:p>
    <w:p>
      <w:pPr>
        <w:spacing w:line="560"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第十六条</w:t>
      </w:r>
      <w:r>
        <w:rPr>
          <w:rFonts w:hint="eastAsia" w:ascii="仿宋_GB2312" w:eastAsia="仿宋_GB2312"/>
          <w:sz w:val="32"/>
          <w:szCs w:val="32"/>
          <w:highlight w:val="none"/>
        </w:rPr>
        <w:t xml:space="preserve">  本细则由通州园管委会、区科委负责解释。</w:t>
      </w:r>
    </w:p>
    <w:p>
      <w:pPr>
        <w:spacing w:line="560" w:lineRule="exact"/>
        <w:ind w:firstLine="643" w:firstLineChars="200"/>
        <w:rPr>
          <w:rFonts w:eastAsia="仿宋_GB2312"/>
          <w:sz w:val="32"/>
          <w:szCs w:val="32"/>
          <w:highlight w:val="none"/>
        </w:rPr>
      </w:pPr>
      <w:r>
        <w:rPr>
          <w:rFonts w:hint="eastAsia" w:ascii="仿宋_GB2312" w:eastAsia="仿宋_GB2312"/>
          <w:b/>
          <w:sz w:val="32"/>
          <w:szCs w:val="32"/>
          <w:highlight w:val="none"/>
        </w:rPr>
        <w:t>第十七条</w:t>
      </w:r>
      <w:r>
        <w:rPr>
          <w:rFonts w:hint="eastAsia" w:ascii="仿宋_GB2312" w:eastAsia="仿宋_GB2312"/>
          <w:sz w:val="32"/>
          <w:szCs w:val="32"/>
          <w:highlight w:val="none"/>
        </w:rPr>
        <w:t xml:space="preserve">  本实施细则自发布之日起执行，至科技资源支撑型载体项目验收结束终止。期间如国家或北京市有关政策发生调整且细则有关规定与之不符时，则按照国家和北京市有关政策执行。　</w:t>
      </w: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962458"/>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09"/>
    <w:rsid w:val="00065B54"/>
    <w:rsid w:val="000B2A36"/>
    <w:rsid w:val="000F1921"/>
    <w:rsid w:val="001A6425"/>
    <w:rsid w:val="002465DA"/>
    <w:rsid w:val="002A2523"/>
    <w:rsid w:val="002A48F8"/>
    <w:rsid w:val="002E3DDC"/>
    <w:rsid w:val="00304A04"/>
    <w:rsid w:val="003151BC"/>
    <w:rsid w:val="0034751B"/>
    <w:rsid w:val="00390806"/>
    <w:rsid w:val="003A1BDA"/>
    <w:rsid w:val="003F0F5E"/>
    <w:rsid w:val="00402BB3"/>
    <w:rsid w:val="0048260F"/>
    <w:rsid w:val="004C04E6"/>
    <w:rsid w:val="0051181C"/>
    <w:rsid w:val="00532BC6"/>
    <w:rsid w:val="005851F5"/>
    <w:rsid w:val="005C48BE"/>
    <w:rsid w:val="005D1C14"/>
    <w:rsid w:val="00655C34"/>
    <w:rsid w:val="00686956"/>
    <w:rsid w:val="006B7A29"/>
    <w:rsid w:val="006C22EA"/>
    <w:rsid w:val="006F2E13"/>
    <w:rsid w:val="0076246B"/>
    <w:rsid w:val="00775F24"/>
    <w:rsid w:val="007A1ED3"/>
    <w:rsid w:val="007C21D9"/>
    <w:rsid w:val="007E5AAB"/>
    <w:rsid w:val="008A4922"/>
    <w:rsid w:val="00A62E84"/>
    <w:rsid w:val="00A64465"/>
    <w:rsid w:val="00A83A01"/>
    <w:rsid w:val="00A9047C"/>
    <w:rsid w:val="00B55EED"/>
    <w:rsid w:val="00B615C3"/>
    <w:rsid w:val="00C82E3F"/>
    <w:rsid w:val="00C90FB7"/>
    <w:rsid w:val="00C970F7"/>
    <w:rsid w:val="00CD34A8"/>
    <w:rsid w:val="00D7213B"/>
    <w:rsid w:val="00DB7A7A"/>
    <w:rsid w:val="00E830C9"/>
    <w:rsid w:val="00E87527"/>
    <w:rsid w:val="00ED0909"/>
    <w:rsid w:val="00F3796D"/>
    <w:rsid w:val="00F60DA1"/>
    <w:rsid w:val="00FA44BA"/>
    <w:rsid w:val="00FF209B"/>
    <w:rsid w:val="0AC376CE"/>
    <w:rsid w:val="0EF56B7F"/>
    <w:rsid w:val="1422279E"/>
    <w:rsid w:val="16D24CC1"/>
    <w:rsid w:val="1947701A"/>
    <w:rsid w:val="281757EA"/>
    <w:rsid w:val="32851027"/>
    <w:rsid w:val="34FC0215"/>
    <w:rsid w:val="42450E1B"/>
    <w:rsid w:val="594D19C3"/>
    <w:rsid w:val="5BE26757"/>
    <w:rsid w:val="5E7E2435"/>
    <w:rsid w:val="6E093C26"/>
    <w:rsid w:val="70752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semiHidden/>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color w:val="F73131"/>
    </w:rPr>
  </w:style>
  <w:style w:type="paragraph" w:styleId="9">
    <w:name w:val="List Paragraph"/>
    <w:basedOn w:val="1"/>
    <w:qFormat/>
    <w:uiPriority w:val="34"/>
    <w:pPr>
      <w:ind w:firstLine="420" w:firstLineChars="200"/>
    </w:pPr>
  </w:style>
  <w:style w:type="character" w:customStyle="1" w:styleId="10">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qFormat/>
    <w:uiPriority w:val="99"/>
    <w:rPr>
      <w:rFonts w:ascii="Times New Roman" w:hAnsi="Times New Roman" w:eastAsia="宋体" w:cs="Times New Roman"/>
      <w:sz w:val="18"/>
      <w:szCs w:val="18"/>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385</Words>
  <Characters>2200</Characters>
  <Lines>18</Lines>
  <Paragraphs>5</Paragraphs>
  <TotalTime>11</TotalTime>
  <ScaleCrop>false</ScaleCrop>
  <LinksUpToDate>false</LinksUpToDate>
  <CharactersWithSpaces>2580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2020-11-17T10:22:00Z</dcterms:created>
  <dc:creator>Administrator</dc:creator>
  <cp:lastModifiedBy>宇文樹學</cp:lastModifiedBy>
  <cp:lastPrinted>2021-07-20T07:39:47Z</cp:lastPrinted>
  <dcterms:modified xsi:type="dcterms:W3CDTF">2021-07-20T07:40:38Z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